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Bdr>
          <w:bottom w:val="none" w:color="auto" w:sz="0" w:space="0"/>
        </w:pBdr>
        <w:snapToGrid w:val="0"/>
        <w:spacing w:beforeLines="0" w:afterLines="0" w:line="240" w:lineRule="auto"/>
        <w:ind w:firstLine="0" w:firstLineChars="0"/>
        <w:jc w:val="distribute"/>
        <w:rPr>
          <w:rFonts w:hint="eastAsia" w:ascii="宋体" w:hAnsi="宋体" w:eastAsia="宋体"/>
          <w:b/>
          <w:bCs/>
          <w:color w:val="FF0000"/>
          <w:w w:val="100"/>
          <w:sz w:val="84"/>
          <w:szCs w:val="84"/>
          <w:lang w:eastAsia="zh-CN"/>
        </w:rPr>
      </w:pPr>
      <w:r>
        <w:rPr>
          <w:rFonts w:hint="eastAsia" w:ascii="宋体" w:hAnsi="宋体" w:cs="Times New Roman"/>
          <w:b/>
          <w:bCs/>
          <w:color w:val="FF0000"/>
          <w:w w:val="100"/>
          <w:sz w:val="84"/>
          <w:szCs w:val="84"/>
          <w:lang w:eastAsia="zh-CN"/>
        </w:rPr>
        <w:t>北京电源行业协会</w:t>
      </w:r>
    </w:p>
    <w:tbl>
      <w:tblPr>
        <w:tblStyle w:val="9"/>
        <w:tblW w:w="900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0" w:hRule="atLeast"/>
        </w:trPr>
        <w:tc>
          <w:tcPr>
            <w:tcW w:w="9000" w:type="dxa"/>
            <w:tcBorders>
              <w:top w:val="single" w:color="FF0000" w:sz="18" w:space="0"/>
              <w:left w:val="nil"/>
              <w:bottom w:val="nil"/>
              <w:right w:val="nil"/>
            </w:tcBorders>
            <w:vAlign w:val="top"/>
          </w:tcPr>
          <w:p>
            <w:pPr>
              <w:spacing w:beforeLines="0" w:afterLines="0" w:line="360" w:lineRule="auto"/>
            </w:pPr>
          </w:p>
        </w:tc>
      </w:tr>
    </w:tbl>
    <w:p>
      <w:pPr>
        <w:spacing w:line="600" w:lineRule="exact"/>
        <w:jc w:val="center"/>
        <w:rPr>
          <w:rFonts w:hint="eastAsia" w:ascii="黑体" w:hAnsi="黑体" w:eastAsia="黑体" w:cs="黑体"/>
          <w:sz w:val="44"/>
          <w:szCs w:val="44"/>
        </w:rPr>
      </w:pPr>
      <w:r>
        <w:rPr>
          <w:rFonts w:hint="eastAsia" w:ascii="黑体" w:hAnsi="黑体" w:eastAsia="黑体" w:cs="黑体"/>
          <w:sz w:val="44"/>
          <w:szCs w:val="44"/>
        </w:rPr>
        <w:t>关于组织开展2015年北京市企业诚信创建活动的通知</w:t>
      </w:r>
    </w:p>
    <w:p>
      <w:pPr>
        <w:spacing w:line="520" w:lineRule="exact"/>
        <w:rPr>
          <w:rFonts w:ascii="宋体" w:hAnsi="宋体"/>
          <w:sz w:val="32"/>
          <w:szCs w:val="32"/>
        </w:rPr>
      </w:pPr>
      <w:r>
        <w:rPr>
          <w:rFonts w:hint="eastAsia" w:ascii="宋体" w:hAnsi="宋体"/>
          <w:sz w:val="32"/>
          <w:szCs w:val="32"/>
          <w:lang w:eastAsia="zh-CN"/>
        </w:rPr>
        <w:t>协会各理事</w:t>
      </w:r>
      <w:r>
        <w:rPr>
          <w:rFonts w:hint="eastAsia" w:ascii="宋体" w:hAnsi="宋体"/>
          <w:sz w:val="32"/>
          <w:szCs w:val="32"/>
        </w:rPr>
        <w:t>/</w:t>
      </w:r>
      <w:r>
        <w:rPr>
          <w:rFonts w:hint="eastAsia" w:ascii="宋体" w:hAnsi="宋体"/>
          <w:sz w:val="32"/>
          <w:szCs w:val="32"/>
          <w:lang w:eastAsia="zh-CN"/>
        </w:rPr>
        <w:t>会员</w:t>
      </w:r>
      <w:r>
        <w:rPr>
          <w:rFonts w:hint="eastAsia" w:ascii="宋体" w:hAnsi="宋体"/>
          <w:sz w:val="32"/>
          <w:szCs w:val="32"/>
        </w:rPr>
        <w:t>：</w:t>
      </w:r>
    </w:p>
    <w:p>
      <w:pPr>
        <w:spacing w:line="520" w:lineRule="exact"/>
        <w:ind w:firstLine="640" w:firstLineChars="200"/>
        <w:rPr>
          <w:rFonts w:ascii="宋体" w:hAnsi="宋体"/>
          <w:sz w:val="32"/>
          <w:szCs w:val="32"/>
        </w:rPr>
      </w:pPr>
      <w:r>
        <w:rPr>
          <w:rFonts w:hint="eastAsia" w:ascii="宋体" w:hAnsi="宋体"/>
          <w:sz w:val="32"/>
          <w:szCs w:val="32"/>
        </w:rPr>
        <w:t>为深入贯彻《国务院关于印发社会信用体系建设规划纲要（2014-2020年）的通知》和《北京市人民政府关于加快社会信用体系建设的实施意见》精神，认真落实《北京市人民政府办公厅关于印发&lt;北京市社会信用体系建设三年重点工作任务（2015-2017年）&gt;的通知》要求，加快推进我市企业信用体系建设，提高企业诚信意识，规范市场秩序，北京市经济和信息化委员会等部门决定继续组织开展2015年北京市企业诚信创建活动（以下简称“创建活动”）。</w:t>
      </w:r>
    </w:p>
    <w:p>
      <w:pPr>
        <w:spacing w:line="520" w:lineRule="exact"/>
        <w:ind w:firstLine="640" w:firstLineChars="200"/>
        <w:rPr>
          <w:rFonts w:ascii="宋体" w:hAnsi="宋体"/>
          <w:sz w:val="32"/>
          <w:szCs w:val="32"/>
        </w:rPr>
      </w:pPr>
      <w:r>
        <w:rPr>
          <w:rFonts w:hint="eastAsia" w:ascii="宋体" w:hAnsi="宋体"/>
          <w:sz w:val="32"/>
          <w:szCs w:val="32"/>
        </w:rPr>
        <w:t>目前，2015年北京市企业诚信创建工作已启动预申报工作，请各行业协会/商会在行业内组织宣传动员工作，指导企业进行预申报，预申报企业经审核通过后可正式申报参加。现将有关事项通知如下：</w:t>
      </w:r>
    </w:p>
    <w:p>
      <w:pPr>
        <w:spacing w:line="520" w:lineRule="exact"/>
        <w:ind w:firstLine="643" w:firstLineChars="200"/>
        <w:rPr>
          <w:rFonts w:ascii="宋体" w:hAnsi="宋体"/>
          <w:b/>
          <w:sz w:val="32"/>
          <w:szCs w:val="32"/>
        </w:rPr>
      </w:pPr>
      <w:r>
        <w:rPr>
          <w:rFonts w:hint="eastAsia" w:ascii="宋体" w:hAnsi="宋体"/>
          <w:b/>
          <w:sz w:val="32"/>
          <w:szCs w:val="32"/>
        </w:rPr>
        <w:t>一、申报条件</w:t>
      </w:r>
    </w:p>
    <w:p>
      <w:pPr>
        <w:spacing w:line="520" w:lineRule="exact"/>
        <w:ind w:firstLine="640" w:firstLineChars="200"/>
        <w:rPr>
          <w:rFonts w:ascii="宋体" w:hAnsi="宋体"/>
          <w:sz w:val="32"/>
          <w:szCs w:val="32"/>
        </w:rPr>
      </w:pPr>
      <w:r>
        <w:rPr>
          <w:rFonts w:hint="eastAsia" w:ascii="宋体" w:hAnsi="宋体"/>
          <w:sz w:val="32"/>
          <w:szCs w:val="32"/>
        </w:rPr>
        <w:t>（一）参加诚信创建活动的协会/商会会员单位；</w:t>
      </w:r>
    </w:p>
    <w:p>
      <w:pPr>
        <w:spacing w:line="520" w:lineRule="exact"/>
        <w:ind w:firstLine="640" w:firstLineChars="200"/>
        <w:rPr>
          <w:rFonts w:ascii="宋体" w:hAnsi="宋体"/>
          <w:sz w:val="32"/>
          <w:szCs w:val="32"/>
        </w:rPr>
      </w:pPr>
      <w:r>
        <w:rPr>
          <w:rFonts w:hint="eastAsia" w:ascii="宋体" w:hAnsi="宋体"/>
          <w:sz w:val="32"/>
          <w:szCs w:val="32"/>
        </w:rPr>
        <w:t>（二）自愿申报，签署诚信承诺书，遵守本活动各项规则；</w:t>
      </w:r>
    </w:p>
    <w:p>
      <w:pPr>
        <w:spacing w:line="520" w:lineRule="exact"/>
        <w:ind w:firstLine="640" w:firstLineChars="200"/>
        <w:rPr>
          <w:rFonts w:ascii="宋体" w:hAnsi="宋体"/>
          <w:sz w:val="32"/>
          <w:szCs w:val="32"/>
        </w:rPr>
      </w:pPr>
      <w:r>
        <w:rPr>
          <w:rFonts w:hint="eastAsia" w:ascii="宋体" w:hAnsi="宋体"/>
          <w:sz w:val="32"/>
          <w:szCs w:val="32"/>
        </w:rPr>
        <w:t>（三）在北京市工商局依法注册，正常经营，持续经营年限达到三年的企业；</w:t>
      </w:r>
    </w:p>
    <w:p>
      <w:pPr>
        <w:spacing w:line="520" w:lineRule="exact"/>
        <w:ind w:firstLine="640" w:firstLineChars="200"/>
        <w:rPr>
          <w:rFonts w:ascii="宋体" w:hAnsi="宋体"/>
          <w:sz w:val="32"/>
          <w:szCs w:val="32"/>
        </w:rPr>
      </w:pPr>
      <w:r>
        <w:rPr>
          <w:rFonts w:hint="eastAsia" w:ascii="宋体" w:hAnsi="宋体"/>
          <w:sz w:val="32"/>
          <w:szCs w:val="32"/>
        </w:rPr>
        <w:t>（四）评价期内未发生本次活动所规定的一票否决行为；</w:t>
      </w:r>
    </w:p>
    <w:p>
      <w:pPr>
        <w:spacing w:line="520" w:lineRule="exact"/>
        <w:ind w:firstLine="640" w:firstLineChars="200"/>
        <w:rPr>
          <w:rFonts w:ascii="宋体" w:hAnsi="宋体"/>
          <w:sz w:val="32"/>
          <w:szCs w:val="32"/>
        </w:rPr>
      </w:pPr>
      <w:r>
        <w:rPr>
          <w:rFonts w:hint="eastAsia" w:ascii="宋体" w:hAnsi="宋体"/>
          <w:sz w:val="32"/>
          <w:szCs w:val="32"/>
        </w:rPr>
        <w:t>（五）所在行业协会/商会根据行业特点制定的相关条件。</w:t>
      </w:r>
    </w:p>
    <w:p>
      <w:pPr>
        <w:spacing w:line="520" w:lineRule="exact"/>
        <w:ind w:firstLine="643" w:firstLineChars="200"/>
        <w:rPr>
          <w:rFonts w:ascii="宋体" w:hAnsi="宋体"/>
          <w:b/>
          <w:sz w:val="32"/>
          <w:szCs w:val="32"/>
        </w:rPr>
      </w:pPr>
      <w:r>
        <w:rPr>
          <w:rFonts w:hint="eastAsia" w:ascii="宋体" w:hAnsi="宋体"/>
          <w:b/>
          <w:sz w:val="32"/>
          <w:szCs w:val="32"/>
        </w:rPr>
        <w:t>二、创建程序</w:t>
      </w:r>
    </w:p>
    <w:p>
      <w:pPr>
        <w:spacing w:line="520" w:lineRule="exact"/>
        <w:ind w:firstLine="640" w:firstLineChars="200"/>
        <w:rPr>
          <w:rFonts w:ascii="宋体" w:hAnsi="宋体"/>
          <w:sz w:val="32"/>
          <w:szCs w:val="32"/>
        </w:rPr>
      </w:pPr>
      <w:r>
        <w:rPr>
          <w:rFonts w:hint="eastAsia" w:ascii="宋体" w:hAnsi="宋体"/>
          <w:sz w:val="32"/>
          <w:szCs w:val="32"/>
        </w:rPr>
        <w:t>行业动员—企业预申报—采集企业信用信—申报受理—第三方企业征信—行业初审—社会公示—专家终审—表彰—宣传推广</w:t>
      </w:r>
    </w:p>
    <w:p>
      <w:pPr>
        <w:spacing w:line="520" w:lineRule="exact"/>
        <w:ind w:firstLine="640" w:firstLineChars="200"/>
        <w:rPr>
          <w:rFonts w:ascii="宋体" w:hAnsi="宋体"/>
          <w:sz w:val="32"/>
          <w:szCs w:val="32"/>
        </w:rPr>
      </w:pPr>
    </w:p>
    <w:p>
      <w:pPr>
        <w:spacing w:line="520" w:lineRule="exact"/>
        <w:ind w:firstLine="643" w:firstLineChars="200"/>
        <w:rPr>
          <w:rFonts w:ascii="宋体" w:hAnsi="宋体"/>
          <w:b/>
          <w:sz w:val="32"/>
          <w:szCs w:val="32"/>
        </w:rPr>
      </w:pPr>
      <w:r>
        <w:rPr>
          <w:rFonts w:hint="eastAsia" w:ascii="宋体" w:hAnsi="宋体"/>
          <w:b/>
          <w:sz w:val="32"/>
          <w:szCs w:val="32"/>
        </w:rPr>
        <w:t>三、评价标准</w:t>
      </w:r>
    </w:p>
    <w:p>
      <w:pPr>
        <w:spacing w:line="520" w:lineRule="exact"/>
        <w:ind w:firstLine="640" w:firstLineChars="200"/>
        <w:rPr>
          <w:rFonts w:ascii="宋体" w:hAnsi="宋体"/>
          <w:sz w:val="32"/>
          <w:szCs w:val="32"/>
        </w:rPr>
      </w:pPr>
      <w:r>
        <w:rPr>
          <w:rFonts w:hint="eastAsia" w:ascii="宋体" w:hAnsi="宋体"/>
          <w:sz w:val="32"/>
          <w:szCs w:val="32"/>
        </w:rPr>
        <w:t>2015年度创建活动将从企业基础条件、经营管理、遵规守法、诚信记录等方面，对申报企业近三年的状况进行打分评价，凡达到基准分数线的企业，即认定为“2015年北京市诚信创建企业”。</w:t>
      </w:r>
    </w:p>
    <w:p>
      <w:pPr>
        <w:spacing w:line="520" w:lineRule="exact"/>
        <w:ind w:firstLine="640" w:firstLineChars="200"/>
        <w:rPr>
          <w:rFonts w:ascii="宋体" w:hAnsi="宋体"/>
          <w:b/>
          <w:sz w:val="32"/>
          <w:szCs w:val="32"/>
        </w:rPr>
      </w:pPr>
      <w:r>
        <w:rPr>
          <w:rFonts w:hint="eastAsia" w:ascii="宋体" w:hAnsi="宋体"/>
          <w:sz w:val="32"/>
          <w:szCs w:val="32"/>
        </w:rPr>
        <w:t>对于诚信创建企业，将通过“北京市企业信用信息网”、“信用北京网”及各行业协会/商会官网向社会公示，提升企业社会形象。有关政府部门将在工业发展资金、中小企业发展专项资金、信息化发展项目支持资金，以及政府采购、政府投资项目招投标评审工作中，在同等条件下给予优先考虑。同时，对于有融资需求的企业，活动秘书处将向有关金融机构积极推荐，将企业融资与企业信用挂钩。</w:t>
      </w:r>
    </w:p>
    <w:p>
      <w:pPr>
        <w:spacing w:line="520" w:lineRule="exact"/>
        <w:ind w:firstLine="643" w:firstLineChars="200"/>
        <w:rPr>
          <w:rFonts w:ascii="宋体" w:hAnsi="宋体"/>
          <w:b/>
          <w:sz w:val="32"/>
          <w:szCs w:val="32"/>
        </w:rPr>
      </w:pPr>
    </w:p>
    <w:p>
      <w:pPr>
        <w:spacing w:line="520" w:lineRule="exact"/>
        <w:ind w:firstLine="643" w:firstLineChars="200"/>
        <w:rPr>
          <w:rFonts w:ascii="宋体" w:hAnsi="宋体"/>
          <w:b/>
          <w:sz w:val="32"/>
          <w:szCs w:val="32"/>
        </w:rPr>
      </w:pPr>
      <w:r>
        <w:rPr>
          <w:rFonts w:hint="eastAsia" w:ascii="宋体" w:hAnsi="宋体"/>
          <w:b/>
          <w:sz w:val="32"/>
          <w:szCs w:val="32"/>
        </w:rPr>
        <w:t>四、预申报企业审核</w:t>
      </w:r>
    </w:p>
    <w:p>
      <w:pPr>
        <w:spacing w:line="520" w:lineRule="exact"/>
        <w:ind w:firstLine="640" w:firstLineChars="200"/>
        <w:rPr>
          <w:rFonts w:ascii="宋体" w:hAnsi="宋体"/>
          <w:sz w:val="32"/>
          <w:szCs w:val="32"/>
        </w:rPr>
      </w:pPr>
      <w:r>
        <w:rPr>
          <w:rFonts w:hint="eastAsia" w:ascii="宋体" w:hAnsi="宋体"/>
          <w:sz w:val="32"/>
          <w:szCs w:val="32"/>
        </w:rPr>
        <w:t>企业按要求填写预申报报名表，报送企业相关信息（预申报表详见附件）。预申报表必须经企业法定代表人或其授权人亲笔签字方为有效；如属法定代表人授权人签字，需同时提交法定代表人授权书原件。</w:t>
      </w:r>
    </w:p>
    <w:p>
      <w:pPr>
        <w:spacing w:line="520" w:lineRule="exact"/>
        <w:ind w:firstLine="640" w:firstLineChars="200"/>
        <w:rPr>
          <w:rFonts w:ascii="宋体" w:hAnsi="宋体"/>
          <w:sz w:val="32"/>
          <w:szCs w:val="32"/>
        </w:rPr>
      </w:pPr>
      <w:r>
        <w:rPr>
          <w:rFonts w:hint="eastAsia" w:ascii="宋体" w:hAnsi="宋体"/>
          <w:sz w:val="32"/>
          <w:szCs w:val="32"/>
        </w:rPr>
        <w:t>为准确查询企业信用信息，请企业准确填写预申报表中企业名称（中文全称）及各类证照号码。</w:t>
      </w:r>
    </w:p>
    <w:p>
      <w:pPr>
        <w:spacing w:line="520" w:lineRule="exact"/>
        <w:ind w:firstLine="640" w:firstLineChars="200"/>
        <w:rPr>
          <w:rFonts w:ascii="宋体" w:hAnsi="宋体"/>
          <w:sz w:val="32"/>
          <w:szCs w:val="32"/>
        </w:rPr>
      </w:pPr>
      <w:r>
        <w:rPr>
          <w:rFonts w:hint="eastAsia" w:ascii="宋体" w:hAnsi="宋体"/>
          <w:sz w:val="32"/>
          <w:szCs w:val="32"/>
        </w:rPr>
        <w:t>本次活动组织承办单位北京企业评价协会（即活动秘书处）将根据企业提交的资料，查询由有关政府部门、法院、人民银行和市消费者协会记录的企业近三年的信用信息。如信用记录中有本活动所规定的一票否决情形的，将不再受理企业正式申报。</w:t>
      </w:r>
    </w:p>
    <w:p>
      <w:pPr>
        <w:spacing w:line="520" w:lineRule="exact"/>
        <w:ind w:firstLine="640" w:firstLineChars="200"/>
        <w:rPr>
          <w:rFonts w:ascii="宋体" w:hAnsi="宋体"/>
          <w:sz w:val="32"/>
          <w:szCs w:val="32"/>
        </w:rPr>
      </w:pPr>
      <w:r>
        <w:rPr>
          <w:rFonts w:hint="eastAsia" w:ascii="宋体" w:hAnsi="宋体"/>
          <w:sz w:val="32"/>
          <w:szCs w:val="32"/>
        </w:rPr>
        <w:t>活动秘书处将所查得的企业信用信息反馈给各协会/商会，各协会/商会根据申报条件及企业信用信息对预申报企业资格进行审核，凡持续经营未达到三年的企业，以及信用信息中有一票否决情形的，一律不再受理其正式申报。</w:t>
      </w:r>
    </w:p>
    <w:p>
      <w:pPr>
        <w:spacing w:line="520" w:lineRule="exact"/>
        <w:ind w:firstLine="640" w:firstLineChars="200"/>
        <w:rPr>
          <w:rFonts w:ascii="宋体" w:hAnsi="宋体"/>
          <w:sz w:val="32"/>
          <w:szCs w:val="32"/>
        </w:rPr>
      </w:pPr>
      <w:r>
        <w:rPr>
          <w:rFonts w:hint="eastAsia" w:ascii="宋体" w:hAnsi="宋体"/>
          <w:sz w:val="32"/>
          <w:szCs w:val="32"/>
        </w:rPr>
        <w:t>凡通过预申报审核的企业，可通过“信用北京网”申报平台进行正式申报（相关要求另行发布）。</w:t>
      </w:r>
    </w:p>
    <w:p>
      <w:pPr>
        <w:spacing w:line="520" w:lineRule="exact"/>
        <w:ind w:firstLine="640" w:firstLineChars="200"/>
        <w:rPr>
          <w:rFonts w:ascii="宋体" w:hAnsi="宋体"/>
          <w:sz w:val="32"/>
          <w:szCs w:val="32"/>
        </w:rPr>
      </w:pPr>
    </w:p>
    <w:p>
      <w:pPr>
        <w:spacing w:line="520" w:lineRule="exact"/>
        <w:ind w:firstLine="643" w:firstLineChars="200"/>
        <w:rPr>
          <w:rFonts w:ascii="宋体" w:hAnsi="宋体"/>
          <w:b/>
          <w:sz w:val="32"/>
          <w:szCs w:val="32"/>
        </w:rPr>
      </w:pPr>
      <w:r>
        <w:rPr>
          <w:rFonts w:hint="eastAsia" w:ascii="宋体" w:hAnsi="宋体"/>
          <w:b/>
          <w:sz w:val="32"/>
          <w:szCs w:val="32"/>
        </w:rPr>
        <w:t>五、时间要求</w:t>
      </w:r>
    </w:p>
    <w:p>
      <w:pPr>
        <w:spacing w:line="520" w:lineRule="exact"/>
        <w:ind w:firstLine="640" w:firstLineChars="200"/>
        <w:rPr>
          <w:rFonts w:ascii="宋体" w:hAnsi="宋体"/>
          <w:sz w:val="32"/>
          <w:szCs w:val="32"/>
        </w:rPr>
      </w:pPr>
      <w:r>
        <w:rPr>
          <w:rFonts w:hint="eastAsia" w:ascii="宋体" w:hAnsi="宋体"/>
          <w:sz w:val="32"/>
          <w:szCs w:val="32"/>
        </w:rPr>
        <w:t>凡有意参加的企业，请于2015年7月</w:t>
      </w:r>
      <w:r>
        <w:rPr>
          <w:rFonts w:hint="eastAsia" w:ascii="宋体" w:hAnsi="宋体"/>
          <w:sz w:val="32"/>
          <w:szCs w:val="32"/>
          <w:lang w:val="en-US" w:eastAsia="zh-CN"/>
        </w:rPr>
        <w:t>27</w:t>
      </w:r>
      <w:r>
        <w:rPr>
          <w:rFonts w:hint="eastAsia" w:ascii="宋体" w:hAnsi="宋体"/>
          <w:sz w:val="32"/>
          <w:szCs w:val="32"/>
        </w:rPr>
        <w:t>日前将预申报表原件寄送至所在行业协会/商会，并同时报送预申报表电子版（如属法定代表人授权人签字的，请一并寄送法定代表人授权书原件）。各协会/商会汇总后于2015年7月2</w:t>
      </w:r>
      <w:r>
        <w:rPr>
          <w:rFonts w:hint="eastAsia" w:ascii="宋体" w:hAnsi="宋体"/>
          <w:sz w:val="32"/>
          <w:szCs w:val="32"/>
          <w:lang w:val="en-US" w:eastAsia="zh-CN"/>
        </w:rPr>
        <w:t>7</w:t>
      </w:r>
      <w:r>
        <w:rPr>
          <w:rFonts w:hint="eastAsia" w:ascii="宋体" w:hAnsi="宋体"/>
          <w:sz w:val="32"/>
          <w:szCs w:val="32"/>
        </w:rPr>
        <w:t>日前将汇总表及预申报表原件、法定代表人授权书原件统一报送至活动秘书处。</w:t>
      </w:r>
    </w:p>
    <w:p>
      <w:pPr>
        <w:spacing w:line="520" w:lineRule="exact"/>
        <w:ind w:firstLine="640" w:firstLineChars="200"/>
        <w:rPr>
          <w:rFonts w:ascii="宋体" w:hAnsi="宋体"/>
          <w:sz w:val="32"/>
          <w:szCs w:val="32"/>
        </w:rPr>
      </w:pPr>
    </w:p>
    <w:p>
      <w:pPr>
        <w:spacing w:line="520" w:lineRule="exact"/>
        <w:ind w:firstLine="640" w:firstLineChars="200"/>
        <w:rPr>
          <w:rFonts w:ascii="宋体" w:hAnsi="宋体"/>
          <w:sz w:val="32"/>
          <w:szCs w:val="32"/>
        </w:rPr>
      </w:pPr>
      <w:r>
        <w:rPr>
          <w:rFonts w:hint="eastAsia" w:ascii="宋体" w:hAnsi="宋体"/>
          <w:sz w:val="32"/>
          <w:szCs w:val="32"/>
        </w:rPr>
        <w:t>特此通知。</w:t>
      </w:r>
    </w:p>
    <w:p>
      <w:pPr>
        <w:widowControl/>
        <w:spacing w:line="520" w:lineRule="exact"/>
        <w:jc w:val="left"/>
        <w:rPr>
          <w:rFonts w:ascii="宋体" w:hAnsi="宋体"/>
          <w:sz w:val="32"/>
          <w:szCs w:val="32"/>
        </w:rPr>
      </w:pPr>
    </w:p>
    <w:p>
      <w:pPr>
        <w:widowControl/>
        <w:spacing w:line="520" w:lineRule="exact"/>
        <w:jc w:val="left"/>
        <w:rPr>
          <w:rFonts w:ascii="宋体" w:hAnsi="宋体"/>
          <w:sz w:val="32"/>
          <w:szCs w:val="32"/>
        </w:rPr>
      </w:pPr>
      <w:r>
        <w:rPr>
          <w:rFonts w:ascii="宋体" w:hAnsi="宋体"/>
          <w:sz w:val="32"/>
          <w:szCs w:val="32"/>
        </w:rPr>
        <w:t>附件</w:t>
      </w:r>
      <w:r>
        <w:rPr>
          <w:rFonts w:hint="eastAsia" w:ascii="宋体" w:hAnsi="宋体"/>
          <w:sz w:val="32"/>
          <w:szCs w:val="32"/>
        </w:rPr>
        <w:t>：1、2015年北京市企业诚信创建活动一票否决办法</w:t>
      </w:r>
    </w:p>
    <w:p>
      <w:pPr>
        <w:widowControl/>
        <w:spacing w:line="520" w:lineRule="exact"/>
        <w:jc w:val="left"/>
        <w:rPr>
          <w:rFonts w:ascii="宋体" w:hAnsi="宋体"/>
          <w:sz w:val="32"/>
          <w:szCs w:val="32"/>
        </w:rPr>
      </w:pPr>
      <w:r>
        <w:rPr>
          <w:rFonts w:hint="eastAsia" w:ascii="宋体" w:hAnsi="宋体"/>
          <w:sz w:val="32"/>
          <w:szCs w:val="32"/>
        </w:rPr>
        <w:t xml:space="preserve">      2、2015年北京市企业诚信创建活动预申报表</w:t>
      </w:r>
    </w:p>
    <w:p>
      <w:pPr>
        <w:widowControl/>
        <w:spacing w:line="520" w:lineRule="exact"/>
        <w:jc w:val="left"/>
        <w:rPr>
          <w:rFonts w:ascii="宋体" w:hAnsi="宋体"/>
          <w:sz w:val="32"/>
          <w:szCs w:val="32"/>
        </w:rPr>
      </w:pPr>
      <w:r>
        <w:rPr>
          <w:rFonts w:ascii="宋体" w:hAnsi="宋体"/>
          <w:sz w:val="32"/>
          <w:szCs w:val="32"/>
        </w:rPr>
        <w:t xml:space="preserve">     </w:t>
      </w:r>
      <w:r>
        <w:rPr>
          <w:rFonts w:hint="eastAsia" w:ascii="宋体" w:hAnsi="宋体"/>
          <w:sz w:val="32"/>
          <w:szCs w:val="32"/>
        </w:rPr>
        <w:t xml:space="preserve"> 3、2015年北京市企业诚信创建活动预申报汇总表</w:t>
      </w:r>
    </w:p>
    <w:p>
      <w:pPr>
        <w:spacing w:line="520" w:lineRule="exact"/>
        <w:rPr>
          <w:rFonts w:ascii="宋体" w:hAnsi="宋体"/>
          <w:sz w:val="32"/>
          <w:szCs w:val="32"/>
        </w:rPr>
      </w:pPr>
      <w:r>
        <w:rPr>
          <w:rFonts w:hint="eastAsia" w:ascii="宋体" w:hAnsi="宋体"/>
          <w:sz w:val="32"/>
          <w:szCs w:val="32"/>
        </w:rPr>
        <w:t xml:space="preserve">     </w:t>
      </w:r>
    </w:p>
    <w:p>
      <w:pPr>
        <w:spacing w:line="520" w:lineRule="exact"/>
        <w:ind w:firstLine="4160" w:firstLineChars="1300"/>
        <w:rPr>
          <w:rFonts w:hint="eastAsia" w:ascii="宋体" w:hAnsi="宋体" w:eastAsia="宋体"/>
          <w:sz w:val="32"/>
          <w:szCs w:val="32"/>
          <w:lang w:val="en-US" w:eastAsia="zh-CN"/>
        </w:rPr>
      </w:pPr>
      <w:r>
        <w:rPr>
          <w:rFonts w:hint="eastAsia" w:ascii="宋体" w:hAnsi="宋体"/>
          <w:sz w:val="32"/>
          <w:szCs w:val="32"/>
          <w:lang w:val="en-US" w:eastAsia="zh-CN"/>
        </w:rPr>
        <w:t>北京电源行业协会 秘书处</w:t>
      </w:r>
    </w:p>
    <w:p>
      <w:pPr>
        <w:spacing w:line="520" w:lineRule="exact"/>
        <w:ind w:firstLine="4160" w:firstLineChars="1300"/>
        <w:rPr>
          <w:rFonts w:hint="eastAsia" w:ascii="宋体" w:hAnsi="宋体"/>
          <w:sz w:val="32"/>
          <w:szCs w:val="32"/>
        </w:rPr>
      </w:pPr>
      <w:r>
        <w:rPr>
          <w:rFonts w:hint="eastAsia" w:ascii="宋体" w:hAnsi="宋体"/>
          <w:sz w:val="32"/>
          <w:szCs w:val="32"/>
        </w:rPr>
        <w:t>北京市企业诚信创建活动秘书处</w:t>
      </w:r>
    </w:p>
    <w:p>
      <w:pPr>
        <w:spacing w:line="520" w:lineRule="exact"/>
        <w:ind w:firstLine="4160" w:firstLineChars="1300"/>
        <w:rPr>
          <w:rFonts w:hint="eastAsia" w:ascii="宋体" w:hAnsi="宋体"/>
          <w:sz w:val="32"/>
          <w:szCs w:val="32"/>
        </w:rPr>
      </w:pPr>
    </w:p>
    <w:p>
      <w:pPr>
        <w:widowControl/>
        <w:spacing w:line="520" w:lineRule="exact"/>
        <w:ind w:firstLine="5120" w:firstLineChars="1600"/>
        <w:jc w:val="left"/>
        <w:rPr>
          <w:rFonts w:ascii="宋体" w:hAnsi="宋体"/>
          <w:sz w:val="32"/>
          <w:szCs w:val="32"/>
        </w:rPr>
      </w:pPr>
      <w:r>
        <w:rPr>
          <w:rFonts w:ascii="宋体" w:hAnsi="宋体"/>
          <w:sz w:val="32"/>
          <w:szCs w:val="32"/>
        </w:rPr>
        <w:t>2015年</w:t>
      </w:r>
      <w:r>
        <w:rPr>
          <w:rFonts w:hint="eastAsia" w:ascii="宋体" w:hAnsi="宋体"/>
          <w:sz w:val="32"/>
          <w:szCs w:val="32"/>
        </w:rPr>
        <w:t>7</w:t>
      </w:r>
      <w:r>
        <w:rPr>
          <w:rFonts w:ascii="宋体" w:hAnsi="宋体"/>
          <w:sz w:val="32"/>
          <w:szCs w:val="32"/>
        </w:rPr>
        <w:t>月</w:t>
      </w:r>
      <w:r>
        <w:rPr>
          <w:rFonts w:hint="eastAsia" w:ascii="宋体" w:hAnsi="宋体"/>
          <w:sz w:val="32"/>
          <w:szCs w:val="32"/>
        </w:rPr>
        <w:t>1</w:t>
      </w:r>
      <w:r>
        <w:rPr>
          <w:rFonts w:ascii="宋体" w:hAnsi="宋体"/>
          <w:sz w:val="32"/>
          <w:szCs w:val="32"/>
        </w:rPr>
        <w:t>日</w:t>
      </w:r>
    </w:p>
    <w:p>
      <w:pPr>
        <w:widowControl/>
        <w:spacing w:line="540" w:lineRule="exact"/>
        <w:jc w:val="left"/>
        <w:rPr>
          <w:rFonts w:ascii="宋体" w:hAnsi="宋体"/>
          <w:sz w:val="28"/>
          <w:szCs w:val="28"/>
        </w:rPr>
      </w:pPr>
    </w:p>
    <w:p>
      <w:pPr>
        <w:widowControl/>
        <w:jc w:val="left"/>
        <w:rPr>
          <w:rFonts w:ascii="宋体" w:hAnsi="宋体"/>
          <w:sz w:val="28"/>
          <w:szCs w:val="28"/>
        </w:rPr>
      </w:pPr>
      <w:r>
        <w:rPr>
          <w:rFonts w:ascii="宋体" w:hAnsi="宋体"/>
          <w:sz w:val="28"/>
          <w:szCs w:val="28"/>
        </w:rPr>
        <w:br w:type="page"/>
      </w:r>
    </w:p>
    <w:p>
      <w:pPr>
        <w:rPr>
          <w:rFonts w:ascii="宋体" w:hAnsi="宋体"/>
          <w:sz w:val="28"/>
          <w:szCs w:val="28"/>
        </w:rPr>
      </w:pPr>
      <w:r>
        <w:rPr>
          <w:rFonts w:hint="eastAsia" w:ascii="宋体" w:hAnsi="宋体"/>
          <w:sz w:val="28"/>
          <w:szCs w:val="28"/>
        </w:rPr>
        <w:t>附件1：</w:t>
      </w:r>
    </w:p>
    <w:p>
      <w:pPr>
        <w:jc w:val="center"/>
        <w:rPr>
          <w:rFonts w:ascii="黑体" w:hAnsi="黑体" w:eastAsia="黑体"/>
          <w:sz w:val="44"/>
          <w:szCs w:val="44"/>
        </w:rPr>
      </w:pPr>
      <w:r>
        <w:rPr>
          <w:rFonts w:hint="eastAsia" w:ascii="黑体" w:hAnsi="黑体" w:eastAsia="黑体"/>
          <w:sz w:val="44"/>
          <w:szCs w:val="44"/>
        </w:rPr>
        <w:t>201</w:t>
      </w:r>
      <w:r>
        <w:rPr>
          <w:rFonts w:ascii="黑体" w:hAnsi="黑体" w:eastAsia="黑体"/>
          <w:sz w:val="44"/>
          <w:szCs w:val="44"/>
        </w:rPr>
        <w:t>5</w:t>
      </w:r>
      <w:r>
        <w:rPr>
          <w:rFonts w:hint="eastAsia" w:ascii="黑体" w:hAnsi="黑体" w:eastAsia="黑体"/>
          <w:sz w:val="44"/>
          <w:szCs w:val="44"/>
        </w:rPr>
        <w:t>年北京市企业诚信创建活动一票否决办法</w:t>
      </w:r>
      <w:r>
        <w:rPr>
          <w:rFonts w:hint="eastAsia" w:ascii="黑体" w:hAnsi="黑体" w:eastAsia="黑体"/>
          <w:sz w:val="28"/>
          <w:szCs w:val="28"/>
        </w:rPr>
        <w:t>（修订版）</w:t>
      </w:r>
    </w:p>
    <w:p>
      <w:pPr>
        <w:spacing w:line="520" w:lineRule="exact"/>
        <w:ind w:firstLine="640" w:firstLineChars="200"/>
        <w:rPr>
          <w:rFonts w:ascii="宋体" w:hAnsi="宋体"/>
          <w:sz w:val="32"/>
          <w:szCs w:val="32"/>
        </w:rPr>
      </w:pPr>
      <w:r>
        <w:rPr>
          <w:rFonts w:hint="eastAsia" w:ascii="宋体" w:hAnsi="宋体"/>
          <w:sz w:val="32"/>
          <w:szCs w:val="32"/>
        </w:rPr>
        <w:t>为严肃诚信创建工作，树立评价结果的公信力，维护各参与方的整体形象，并达到鼓励守信、惩戒失信的目的，对于申报企业所存在的违法、严重违规、严重侵犯消费者利益等行为实行“一票否决”制，制定本办法。</w:t>
      </w:r>
    </w:p>
    <w:p>
      <w:pPr>
        <w:spacing w:line="520" w:lineRule="exact"/>
        <w:ind w:firstLine="640" w:firstLineChars="200"/>
        <w:outlineLvl w:val="0"/>
        <w:rPr>
          <w:rFonts w:ascii="宋体" w:hAnsi="宋体"/>
          <w:sz w:val="32"/>
          <w:szCs w:val="32"/>
        </w:rPr>
      </w:pPr>
      <w:r>
        <w:rPr>
          <w:rFonts w:hint="eastAsia" w:ascii="宋体" w:hAnsi="宋体"/>
          <w:sz w:val="32"/>
          <w:szCs w:val="32"/>
        </w:rPr>
        <w:t>一、一票否决范围</w:t>
      </w:r>
    </w:p>
    <w:p>
      <w:pPr>
        <w:spacing w:line="520" w:lineRule="exact"/>
        <w:ind w:firstLine="643" w:firstLineChars="200"/>
        <w:rPr>
          <w:rFonts w:ascii="宋体" w:hAnsi="宋体"/>
          <w:b/>
          <w:sz w:val="32"/>
          <w:szCs w:val="32"/>
        </w:rPr>
      </w:pPr>
      <w:r>
        <w:rPr>
          <w:rFonts w:hint="eastAsia" w:ascii="宋体" w:hAnsi="宋体"/>
          <w:b/>
          <w:sz w:val="32"/>
          <w:szCs w:val="32"/>
        </w:rPr>
        <w:t>（一）通用项</w:t>
      </w:r>
    </w:p>
    <w:p>
      <w:pPr>
        <w:spacing w:line="520" w:lineRule="exact"/>
        <w:ind w:firstLine="640" w:firstLineChars="200"/>
        <w:rPr>
          <w:rFonts w:ascii="宋体" w:hAnsi="宋体"/>
          <w:sz w:val="32"/>
          <w:szCs w:val="32"/>
        </w:rPr>
      </w:pPr>
      <w:r>
        <w:rPr>
          <w:rFonts w:hint="eastAsia" w:ascii="宋体" w:hAnsi="宋体"/>
          <w:sz w:val="32"/>
          <w:szCs w:val="32"/>
        </w:rPr>
        <w:t>凡申报企业在评价期内（近三年）在企业诚信经营方面有下列情形之一的，以及在本次活动中有隐瞒事实，提供虚假不实申报材料的，均被列入一票否决范围：</w:t>
      </w:r>
    </w:p>
    <w:p>
      <w:pPr>
        <w:spacing w:line="520" w:lineRule="exact"/>
        <w:ind w:firstLine="640" w:firstLineChars="200"/>
        <w:rPr>
          <w:rFonts w:ascii="宋体" w:hAnsi="宋体"/>
          <w:sz w:val="32"/>
          <w:szCs w:val="32"/>
        </w:rPr>
      </w:pPr>
      <w:r>
        <w:rPr>
          <w:rFonts w:hint="eastAsia" w:ascii="宋体" w:hAnsi="宋体"/>
          <w:sz w:val="32"/>
          <w:szCs w:val="32"/>
        </w:rPr>
        <w:t>1、在国家或北京市产品质量监督抽查中，出现产品质量不合格的；</w:t>
      </w:r>
    </w:p>
    <w:p>
      <w:pPr>
        <w:spacing w:line="520" w:lineRule="exact"/>
        <w:ind w:firstLine="640" w:firstLineChars="200"/>
        <w:rPr>
          <w:rFonts w:ascii="宋体" w:hAnsi="宋体"/>
          <w:sz w:val="32"/>
          <w:szCs w:val="32"/>
        </w:rPr>
      </w:pPr>
      <w:r>
        <w:rPr>
          <w:rFonts w:hint="eastAsia" w:ascii="宋体" w:hAnsi="宋体"/>
          <w:sz w:val="32"/>
          <w:szCs w:val="32"/>
        </w:rPr>
        <w:t>2、企业被有关部门处以“责令改正、责令限期改正、责令停止违法行为”及以上程度的行政处罚的；</w:t>
      </w:r>
    </w:p>
    <w:p>
      <w:pPr>
        <w:spacing w:line="520" w:lineRule="exact"/>
        <w:ind w:firstLine="640" w:firstLineChars="200"/>
        <w:rPr>
          <w:rFonts w:ascii="宋体" w:hAnsi="宋体"/>
          <w:sz w:val="32"/>
          <w:szCs w:val="32"/>
        </w:rPr>
      </w:pPr>
      <w:r>
        <w:rPr>
          <w:rFonts w:hint="eastAsia" w:ascii="宋体" w:hAnsi="宋体"/>
          <w:sz w:val="32"/>
          <w:szCs w:val="32"/>
        </w:rPr>
        <w:t>3、除上述情形外的行政处罚记录累计超过三次，或</w:t>
      </w:r>
      <w:r>
        <w:rPr>
          <w:rFonts w:ascii="宋体" w:hAnsi="宋体"/>
          <w:sz w:val="32"/>
          <w:szCs w:val="32"/>
        </w:rPr>
        <w:t>被认定为情节恶劣、后果严重、影响较大的一次</w:t>
      </w:r>
      <w:r>
        <w:rPr>
          <w:rFonts w:hint="eastAsia" w:ascii="宋体" w:hAnsi="宋体"/>
          <w:sz w:val="32"/>
          <w:szCs w:val="32"/>
        </w:rPr>
        <w:t>的；</w:t>
      </w:r>
    </w:p>
    <w:p>
      <w:pPr>
        <w:spacing w:line="520" w:lineRule="exact"/>
        <w:ind w:firstLine="640" w:firstLineChars="200"/>
        <w:rPr>
          <w:rFonts w:ascii="宋体" w:hAnsi="宋体"/>
          <w:sz w:val="32"/>
          <w:szCs w:val="32"/>
        </w:rPr>
      </w:pPr>
      <w:r>
        <w:rPr>
          <w:rFonts w:hint="eastAsia" w:ascii="宋体" w:hAnsi="宋体"/>
          <w:sz w:val="32"/>
          <w:szCs w:val="32"/>
        </w:rPr>
        <w:t>4、被人民法院列入失信被执行人名单的；</w:t>
      </w:r>
    </w:p>
    <w:p>
      <w:pPr>
        <w:spacing w:line="520" w:lineRule="exact"/>
        <w:ind w:firstLine="640" w:firstLineChars="200"/>
        <w:rPr>
          <w:rFonts w:ascii="宋体" w:hAnsi="宋体"/>
          <w:sz w:val="32"/>
          <w:szCs w:val="32"/>
        </w:rPr>
      </w:pPr>
      <w:r>
        <w:rPr>
          <w:rFonts w:hint="eastAsia" w:ascii="宋体" w:hAnsi="宋体"/>
          <w:sz w:val="32"/>
          <w:szCs w:val="32"/>
        </w:rPr>
        <w:t>5、被税务部门评定为纳税信用等级C级或D级的；</w:t>
      </w:r>
    </w:p>
    <w:p>
      <w:pPr>
        <w:spacing w:line="520" w:lineRule="exact"/>
        <w:ind w:firstLine="640" w:firstLineChars="200"/>
        <w:rPr>
          <w:rFonts w:ascii="宋体" w:hAnsi="宋体"/>
          <w:sz w:val="32"/>
          <w:szCs w:val="32"/>
        </w:rPr>
      </w:pPr>
      <w:r>
        <w:rPr>
          <w:rFonts w:hint="eastAsia" w:ascii="宋体" w:hAnsi="宋体"/>
          <w:sz w:val="32"/>
          <w:szCs w:val="32"/>
        </w:rPr>
        <w:t>6、人民银行企业信用报告中不良记录笔数超过三笔的；</w:t>
      </w:r>
    </w:p>
    <w:p>
      <w:pPr>
        <w:spacing w:line="520" w:lineRule="exact"/>
        <w:ind w:firstLine="640" w:firstLineChars="200"/>
        <w:rPr>
          <w:rFonts w:ascii="宋体" w:hAnsi="宋体"/>
          <w:sz w:val="32"/>
          <w:szCs w:val="32"/>
        </w:rPr>
      </w:pPr>
      <w:r>
        <w:rPr>
          <w:rFonts w:hint="eastAsia" w:ascii="宋体" w:hAnsi="宋体"/>
          <w:sz w:val="32"/>
          <w:szCs w:val="32"/>
        </w:rPr>
        <w:t>7、经有关部门或消费者权益保护组织查实的侵犯消费者利益的行为超过三次，或虽然未超过三次，但被认定为情节恶劣、后果严重、影响较大的行为一次的；</w:t>
      </w:r>
    </w:p>
    <w:p>
      <w:pPr>
        <w:spacing w:line="520" w:lineRule="exact"/>
        <w:ind w:firstLine="640" w:firstLineChars="200"/>
        <w:rPr>
          <w:rFonts w:ascii="宋体" w:hAnsi="宋体"/>
          <w:sz w:val="32"/>
          <w:szCs w:val="32"/>
        </w:rPr>
      </w:pPr>
      <w:r>
        <w:rPr>
          <w:rFonts w:hint="eastAsia" w:ascii="宋体" w:hAnsi="宋体"/>
          <w:sz w:val="32"/>
          <w:szCs w:val="32"/>
        </w:rPr>
        <w:t>8、因企业全部或主要原因，导致发生社会群体性事件，影响社会公共秩序的；</w:t>
      </w:r>
    </w:p>
    <w:p>
      <w:pPr>
        <w:spacing w:line="520" w:lineRule="exact"/>
        <w:ind w:firstLine="640" w:firstLineChars="200"/>
        <w:rPr>
          <w:rFonts w:ascii="宋体" w:hAnsi="宋体"/>
          <w:sz w:val="32"/>
          <w:szCs w:val="32"/>
        </w:rPr>
      </w:pPr>
      <w:r>
        <w:rPr>
          <w:rFonts w:hint="eastAsia" w:ascii="宋体" w:hAnsi="宋体"/>
          <w:sz w:val="32"/>
          <w:szCs w:val="32"/>
        </w:rPr>
        <w:t>9、严重违反行规行约，被所属行业协会/商会通报批评的；</w:t>
      </w:r>
    </w:p>
    <w:p>
      <w:pPr>
        <w:spacing w:line="520" w:lineRule="exact"/>
        <w:ind w:firstLine="640" w:firstLineChars="200"/>
        <w:rPr>
          <w:rFonts w:ascii="宋体" w:hAnsi="宋体"/>
          <w:sz w:val="32"/>
          <w:szCs w:val="32"/>
        </w:rPr>
      </w:pPr>
      <w:r>
        <w:rPr>
          <w:rFonts w:hint="eastAsia" w:ascii="宋体" w:hAnsi="宋体"/>
          <w:sz w:val="32"/>
          <w:szCs w:val="32"/>
        </w:rPr>
        <w:t>10、未通过最新年度行业年检的；</w:t>
      </w:r>
    </w:p>
    <w:p>
      <w:pPr>
        <w:spacing w:line="520" w:lineRule="exact"/>
        <w:ind w:firstLine="640" w:firstLineChars="200"/>
        <w:rPr>
          <w:rFonts w:ascii="宋体" w:hAnsi="宋体"/>
          <w:sz w:val="32"/>
          <w:szCs w:val="32"/>
        </w:rPr>
      </w:pPr>
      <w:r>
        <w:rPr>
          <w:rFonts w:ascii="宋体" w:hAnsi="宋体"/>
          <w:sz w:val="32"/>
          <w:szCs w:val="32"/>
        </w:rPr>
        <w:t>11、仍在有效期内的信用评级报告信用等级未达到BB</w:t>
      </w:r>
      <w:r>
        <w:rPr>
          <w:rFonts w:ascii="宋体" w:hAnsi="宋体" w:eastAsia="宋体"/>
          <w:sz w:val="32"/>
          <w:szCs w:val="32"/>
        </w:rPr>
        <w:t>级（含</w:t>
      </w:r>
      <w:r>
        <w:rPr>
          <w:rFonts w:ascii="宋体" w:hAnsi="宋体"/>
          <w:sz w:val="32"/>
          <w:szCs w:val="32"/>
        </w:rPr>
        <w:t>BB-）或征信报告记载有上述情形的；</w:t>
      </w:r>
    </w:p>
    <w:p>
      <w:pPr>
        <w:spacing w:line="520" w:lineRule="exact"/>
        <w:ind w:firstLine="640" w:firstLineChars="200"/>
        <w:rPr>
          <w:rFonts w:ascii="宋体" w:hAnsi="宋体"/>
          <w:sz w:val="32"/>
          <w:szCs w:val="32"/>
        </w:rPr>
      </w:pPr>
      <w:r>
        <w:rPr>
          <w:rFonts w:hint="eastAsia" w:ascii="宋体" w:hAnsi="宋体"/>
          <w:sz w:val="32"/>
          <w:szCs w:val="32"/>
        </w:rPr>
        <w:t>12、社会公示期间收到社会举报，经查实确属于一票否决范围的。</w:t>
      </w:r>
    </w:p>
    <w:p>
      <w:pPr>
        <w:spacing w:line="520" w:lineRule="exact"/>
        <w:ind w:firstLine="643" w:firstLineChars="200"/>
        <w:rPr>
          <w:rFonts w:ascii="宋体" w:hAnsi="宋体"/>
          <w:b/>
          <w:sz w:val="32"/>
          <w:szCs w:val="32"/>
        </w:rPr>
      </w:pPr>
      <w:r>
        <w:rPr>
          <w:rFonts w:hint="eastAsia" w:ascii="宋体" w:hAnsi="宋体"/>
          <w:b/>
          <w:sz w:val="32"/>
          <w:szCs w:val="32"/>
        </w:rPr>
        <w:t>（二）行业规定</w:t>
      </w:r>
    </w:p>
    <w:p>
      <w:pPr>
        <w:spacing w:line="520" w:lineRule="exact"/>
        <w:ind w:firstLine="640" w:firstLineChars="200"/>
        <w:rPr>
          <w:rFonts w:ascii="宋体" w:hAnsi="宋体"/>
          <w:sz w:val="32"/>
          <w:szCs w:val="32"/>
        </w:rPr>
      </w:pPr>
      <w:r>
        <w:rPr>
          <w:rFonts w:hint="eastAsia" w:ascii="宋体" w:hAnsi="宋体"/>
          <w:sz w:val="32"/>
          <w:szCs w:val="32"/>
        </w:rPr>
        <w:t>各协会根据本行业相关法律法规和规章制度，制定适用于本行业的一票否决项。</w:t>
      </w:r>
    </w:p>
    <w:p>
      <w:pPr>
        <w:spacing w:line="520" w:lineRule="exact"/>
        <w:ind w:firstLine="640" w:firstLineChars="200"/>
        <w:outlineLvl w:val="0"/>
        <w:rPr>
          <w:rFonts w:ascii="宋体" w:hAnsi="宋体"/>
          <w:sz w:val="32"/>
          <w:szCs w:val="32"/>
        </w:rPr>
      </w:pPr>
      <w:r>
        <w:rPr>
          <w:rFonts w:hint="eastAsia" w:ascii="宋体" w:hAnsi="宋体"/>
          <w:sz w:val="32"/>
          <w:szCs w:val="32"/>
        </w:rPr>
        <w:t>二、对一票否决信息的使用</w:t>
      </w:r>
    </w:p>
    <w:p>
      <w:pPr>
        <w:spacing w:line="520" w:lineRule="exact"/>
        <w:ind w:firstLine="640" w:firstLineChars="200"/>
        <w:rPr>
          <w:rFonts w:ascii="宋体" w:hAnsi="宋体"/>
          <w:sz w:val="32"/>
          <w:szCs w:val="32"/>
        </w:rPr>
      </w:pPr>
      <w:r>
        <w:rPr>
          <w:rFonts w:hint="eastAsia" w:ascii="宋体" w:hAnsi="宋体"/>
          <w:sz w:val="32"/>
          <w:szCs w:val="32"/>
        </w:rPr>
        <w:t>（一）各协会/商会根据本法决定是否受理企业申报，在对企业进行初审时，对于凡有一票否决行为信息的企业，须在诚信档案中予以注明具体情形，并直接签署终止评价意见。</w:t>
      </w:r>
    </w:p>
    <w:p>
      <w:pPr>
        <w:spacing w:line="520" w:lineRule="exact"/>
        <w:ind w:firstLine="640" w:firstLineChars="200"/>
        <w:rPr>
          <w:rFonts w:ascii="宋体" w:hAnsi="宋体"/>
          <w:sz w:val="32"/>
          <w:szCs w:val="32"/>
        </w:rPr>
      </w:pPr>
      <w:r>
        <w:rPr>
          <w:rFonts w:hint="eastAsia" w:ascii="宋体" w:hAnsi="宋体"/>
          <w:sz w:val="32"/>
          <w:szCs w:val="32"/>
        </w:rPr>
        <w:t>（二）社会公示期间收到社会举报，一经查实属于一票否决情形的，应立即取消该企业的评价资格。</w:t>
      </w:r>
    </w:p>
    <w:p>
      <w:pPr>
        <w:spacing w:line="520" w:lineRule="exact"/>
        <w:ind w:firstLine="640" w:firstLineChars="200"/>
        <w:rPr>
          <w:rFonts w:ascii="宋体" w:hAnsi="宋体"/>
          <w:sz w:val="32"/>
          <w:szCs w:val="32"/>
        </w:rPr>
      </w:pPr>
      <w:r>
        <w:rPr>
          <w:rFonts w:hint="eastAsia" w:ascii="宋体" w:hAnsi="宋体"/>
          <w:sz w:val="32"/>
          <w:szCs w:val="32"/>
        </w:rPr>
        <w:t>（三）凡因一票否决原因被取消资格的企业，各协会/商会须在该企业诚信档案中予以记录，且两年内不再受理企业的申报。</w:t>
      </w:r>
    </w:p>
    <w:p>
      <w:pPr>
        <w:spacing w:line="520" w:lineRule="exact"/>
        <w:ind w:firstLine="640" w:firstLineChars="200"/>
        <w:outlineLvl w:val="0"/>
        <w:rPr>
          <w:rFonts w:ascii="宋体" w:hAnsi="宋体"/>
          <w:sz w:val="32"/>
          <w:szCs w:val="32"/>
        </w:rPr>
      </w:pPr>
      <w:r>
        <w:rPr>
          <w:rFonts w:hint="eastAsia" w:ascii="宋体" w:hAnsi="宋体"/>
          <w:sz w:val="32"/>
          <w:szCs w:val="32"/>
        </w:rPr>
        <w:t>三、对暂无定论的行为信息的处理</w:t>
      </w:r>
    </w:p>
    <w:p>
      <w:pPr>
        <w:spacing w:line="520" w:lineRule="exact"/>
        <w:ind w:firstLine="640" w:firstLineChars="200"/>
        <w:rPr>
          <w:rFonts w:ascii="宋体" w:hAnsi="宋体"/>
          <w:sz w:val="32"/>
          <w:szCs w:val="32"/>
        </w:rPr>
      </w:pPr>
      <w:r>
        <w:rPr>
          <w:rFonts w:hint="eastAsia" w:ascii="宋体" w:hAnsi="宋体"/>
          <w:sz w:val="32"/>
          <w:szCs w:val="32"/>
        </w:rPr>
        <w:t>对于已经得知，但暂无定论的行为信息，可先暂停评价或暂停荣誉称号，待最终结论形成后，再视具体情况给予不同的处理。经确认，确属于一票否决范围的，严格按本办法规定处理，未完成评价流程的，立即终止，已经授予的荣誉称号立即撤销，并记录在企业诚信档案中；不属于此范围的，应立即恢复对企业的评价工作或恢复荣誉称号。暂停或恢复荣誉称号时，须予以社会公示。此类行为包括：</w:t>
      </w:r>
    </w:p>
    <w:p>
      <w:pPr>
        <w:spacing w:line="520" w:lineRule="exact"/>
        <w:ind w:firstLine="640" w:firstLineChars="200"/>
        <w:rPr>
          <w:rFonts w:ascii="宋体" w:hAnsi="宋体"/>
          <w:sz w:val="32"/>
          <w:szCs w:val="32"/>
        </w:rPr>
      </w:pPr>
      <w:r>
        <w:rPr>
          <w:rFonts w:hint="eastAsia" w:ascii="宋体" w:hAnsi="宋体"/>
          <w:sz w:val="32"/>
          <w:szCs w:val="32"/>
        </w:rPr>
        <w:t>1、处于有关部门查证或司法诉讼过程中的行为；</w:t>
      </w:r>
    </w:p>
    <w:p>
      <w:pPr>
        <w:spacing w:line="520" w:lineRule="exact"/>
        <w:ind w:firstLine="640" w:firstLineChars="200"/>
        <w:rPr>
          <w:rFonts w:ascii="宋体" w:hAnsi="宋体"/>
          <w:sz w:val="32"/>
          <w:szCs w:val="32"/>
        </w:rPr>
      </w:pPr>
      <w:r>
        <w:rPr>
          <w:rFonts w:hint="eastAsia" w:ascii="宋体" w:hAnsi="宋体"/>
          <w:sz w:val="32"/>
          <w:szCs w:val="32"/>
        </w:rPr>
        <w:t>2、被媒体曝光、消费者投诉，造成不良社会影响，有关部门正在查实过程中的行为；</w:t>
      </w:r>
    </w:p>
    <w:p>
      <w:pPr>
        <w:spacing w:line="520" w:lineRule="exact"/>
        <w:ind w:firstLine="640" w:firstLineChars="200"/>
        <w:rPr>
          <w:rFonts w:ascii="宋体" w:hAnsi="宋体"/>
          <w:sz w:val="32"/>
          <w:szCs w:val="32"/>
        </w:rPr>
      </w:pPr>
      <w:r>
        <w:rPr>
          <w:rFonts w:hint="eastAsia" w:ascii="宋体" w:hAnsi="宋体"/>
          <w:sz w:val="32"/>
          <w:szCs w:val="32"/>
        </w:rPr>
        <w:t>3、初审公示过程中收到社会举报，但无法在评价工作结束前确定其性质的行为；</w:t>
      </w:r>
    </w:p>
    <w:p>
      <w:pPr>
        <w:spacing w:line="520" w:lineRule="exact"/>
        <w:ind w:firstLine="640" w:firstLineChars="200"/>
        <w:rPr>
          <w:rFonts w:ascii="宋体" w:hAnsi="宋体"/>
          <w:sz w:val="32"/>
          <w:szCs w:val="32"/>
        </w:rPr>
      </w:pPr>
      <w:r>
        <w:rPr>
          <w:rFonts w:hint="eastAsia" w:ascii="宋体" w:hAnsi="宋体"/>
          <w:sz w:val="32"/>
          <w:szCs w:val="32"/>
        </w:rPr>
        <w:t>4、终审公布后收到的社会举报，需要经过查实予以确定行为性质的行为；</w:t>
      </w:r>
    </w:p>
    <w:p>
      <w:pPr>
        <w:spacing w:line="520" w:lineRule="exact"/>
        <w:ind w:firstLine="640" w:firstLineChars="200"/>
        <w:rPr>
          <w:rFonts w:ascii="宋体" w:hAnsi="宋体"/>
          <w:sz w:val="32"/>
          <w:szCs w:val="32"/>
        </w:rPr>
      </w:pPr>
      <w:r>
        <w:rPr>
          <w:rFonts w:hint="eastAsia" w:ascii="宋体" w:hAnsi="宋体"/>
          <w:sz w:val="32"/>
          <w:szCs w:val="32"/>
        </w:rPr>
        <w:t>5、协会/商会认为有必要暂停评价或暂停荣誉称号的其他行为。</w:t>
      </w:r>
    </w:p>
    <w:p>
      <w:pPr>
        <w:spacing w:line="500" w:lineRule="exact"/>
        <w:ind w:firstLine="560" w:firstLineChars="200"/>
        <w:rPr>
          <w:rFonts w:ascii="宋体" w:hAnsi="宋体"/>
          <w:sz w:val="28"/>
          <w:szCs w:val="28"/>
        </w:rPr>
      </w:pPr>
    </w:p>
    <w:p>
      <w:pPr>
        <w:widowControl/>
        <w:spacing w:line="540" w:lineRule="exact"/>
        <w:jc w:val="left"/>
        <w:rPr>
          <w:rFonts w:ascii="宋体" w:hAnsi="宋体"/>
          <w:sz w:val="28"/>
          <w:szCs w:val="28"/>
        </w:rPr>
      </w:pPr>
    </w:p>
    <w:p>
      <w:pPr>
        <w:widowControl/>
        <w:jc w:val="left"/>
        <w:rPr>
          <w:rFonts w:ascii="宋体" w:hAnsi="宋体"/>
          <w:sz w:val="28"/>
          <w:szCs w:val="28"/>
        </w:rPr>
      </w:pPr>
      <w:r>
        <w:rPr>
          <w:rFonts w:ascii="宋体" w:hAnsi="宋体"/>
          <w:sz w:val="28"/>
          <w:szCs w:val="28"/>
        </w:rPr>
        <w:br w:type="page"/>
      </w:r>
    </w:p>
    <w:p>
      <w:pPr>
        <w:widowControl/>
        <w:spacing w:line="540" w:lineRule="exact"/>
        <w:jc w:val="left"/>
        <w:rPr>
          <w:rFonts w:ascii="宋体" w:hAnsi="宋体"/>
          <w:sz w:val="28"/>
          <w:szCs w:val="28"/>
        </w:rPr>
      </w:pPr>
      <w:r>
        <w:rPr>
          <w:rFonts w:hint="eastAsia" w:ascii="宋体" w:hAnsi="宋体"/>
          <w:sz w:val="28"/>
          <w:szCs w:val="28"/>
        </w:rPr>
        <w:t>附件2：</w:t>
      </w:r>
    </w:p>
    <w:p>
      <w:pPr>
        <w:spacing w:beforeLines="50" w:line="480" w:lineRule="exact"/>
        <w:jc w:val="center"/>
        <w:rPr>
          <w:rFonts w:ascii="黑体" w:hAnsi="黑体" w:eastAsia="黑体"/>
          <w:sz w:val="40"/>
          <w:szCs w:val="40"/>
        </w:rPr>
      </w:pPr>
      <w:r>
        <w:rPr>
          <w:rFonts w:hint="eastAsia" w:ascii="黑体" w:hAnsi="黑体" w:eastAsia="黑体"/>
          <w:sz w:val="40"/>
          <w:szCs w:val="40"/>
        </w:rPr>
        <w:t>2015年北京市企业诚信创建活动预申报表</w:t>
      </w:r>
    </w:p>
    <w:p>
      <w:pPr>
        <w:spacing w:line="240" w:lineRule="exact"/>
        <w:jc w:val="center"/>
        <w:rPr>
          <w:rFonts w:ascii="黑体" w:hAnsi="黑体" w:eastAsia="黑体"/>
          <w:sz w:val="40"/>
          <w:szCs w:val="40"/>
        </w:rPr>
      </w:pPr>
    </w:p>
    <w:tbl>
      <w:tblPr>
        <w:tblStyle w:val="1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992"/>
        <w:gridCol w:w="1557"/>
        <w:gridCol w:w="929"/>
        <w:gridCol w:w="916"/>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75" w:type="dxa"/>
            <w:vAlign w:val="center"/>
          </w:tcPr>
          <w:p>
            <w:pPr>
              <w:spacing w:line="440" w:lineRule="exact"/>
              <w:jc w:val="center"/>
              <w:rPr>
                <w:rFonts w:ascii="宋体" w:hAnsi="宋体"/>
                <w:sz w:val="24"/>
                <w:szCs w:val="24"/>
              </w:rPr>
            </w:pPr>
            <w:r>
              <w:rPr>
                <w:rFonts w:hint="eastAsia" w:ascii="宋体" w:hAnsi="宋体"/>
                <w:sz w:val="24"/>
                <w:szCs w:val="24"/>
              </w:rPr>
              <w:t>企业名称</w:t>
            </w:r>
          </w:p>
        </w:tc>
        <w:tc>
          <w:tcPr>
            <w:tcW w:w="7051" w:type="dxa"/>
            <w:gridSpan w:val="5"/>
            <w:vAlign w:val="center"/>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75" w:type="dxa"/>
            <w:vAlign w:val="center"/>
          </w:tcPr>
          <w:p>
            <w:pPr>
              <w:spacing w:line="440" w:lineRule="exact"/>
              <w:jc w:val="center"/>
              <w:rPr>
                <w:rFonts w:ascii="宋体" w:hAnsi="宋体"/>
                <w:sz w:val="24"/>
                <w:szCs w:val="24"/>
              </w:rPr>
            </w:pPr>
            <w:r>
              <w:rPr>
                <w:rFonts w:hint="eastAsia" w:ascii="宋体" w:hAnsi="宋体"/>
                <w:sz w:val="24"/>
                <w:szCs w:val="24"/>
              </w:rPr>
              <w:t>注册地址</w:t>
            </w:r>
          </w:p>
        </w:tc>
        <w:tc>
          <w:tcPr>
            <w:tcW w:w="7051" w:type="dxa"/>
            <w:gridSpan w:val="5"/>
            <w:vAlign w:val="top"/>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75" w:type="dxa"/>
            <w:vAlign w:val="center"/>
          </w:tcPr>
          <w:p>
            <w:pPr>
              <w:spacing w:line="440" w:lineRule="exact"/>
              <w:jc w:val="center"/>
              <w:rPr>
                <w:rFonts w:ascii="宋体" w:hAnsi="宋体"/>
                <w:sz w:val="24"/>
                <w:szCs w:val="24"/>
              </w:rPr>
            </w:pPr>
            <w:r>
              <w:rPr>
                <w:rFonts w:hint="eastAsia" w:ascii="宋体" w:hAnsi="宋体"/>
                <w:sz w:val="24"/>
                <w:szCs w:val="24"/>
              </w:rPr>
              <w:t>法定代表人</w:t>
            </w:r>
          </w:p>
        </w:tc>
        <w:tc>
          <w:tcPr>
            <w:tcW w:w="2549" w:type="dxa"/>
            <w:gridSpan w:val="2"/>
            <w:vAlign w:val="top"/>
          </w:tcPr>
          <w:p>
            <w:pPr>
              <w:spacing w:line="440" w:lineRule="exact"/>
              <w:rPr>
                <w:rFonts w:ascii="宋体" w:hAnsi="宋体"/>
                <w:sz w:val="24"/>
                <w:szCs w:val="24"/>
              </w:rPr>
            </w:pPr>
          </w:p>
        </w:tc>
        <w:tc>
          <w:tcPr>
            <w:tcW w:w="1845" w:type="dxa"/>
            <w:gridSpan w:val="2"/>
            <w:vAlign w:val="center"/>
          </w:tcPr>
          <w:p>
            <w:pPr>
              <w:spacing w:line="440" w:lineRule="exact"/>
              <w:jc w:val="center"/>
              <w:rPr>
                <w:rFonts w:ascii="宋体" w:hAnsi="宋体"/>
                <w:sz w:val="24"/>
                <w:szCs w:val="24"/>
              </w:rPr>
            </w:pPr>
            <w:r>
              <w:rPr>
                <w:rFonts w:hint="eastAsia" w:ascii="宋体" w:hAnsi="宋体"/>
                <w:sz w:val="24"/>
                <w:szCs w:val="24"/>
              </w:rPr>
              <w:t>成立日期</w:t>
            </w:r>
          </w:p>
        </w:tc>
        <w:tc>
          <w:tcPr>
            <w:tcW w:w="2657" w:type="dxa"/>
            <w:vAlign w:val="top"/>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75" w:type="dxa"/>
            <w:vAlign w:val="center"/>
          </w:tcPr>
          <w:p>
            <w:pPr>
              <w:spacing w:line="440" w:lineRule="exact"/>
              <w:jc w:val="center"/>
              <w:rPr>
                <w:rFonts w:ascii="宋体" w:hAnsi="宋体"/>
                <w:sz w:val="24"/>
                <w:szCs w:val="24"/>
              </w:rPr>
            </w:pPr>
            <w:r>
              <w:rPr>
                <w:rFonts w:hint="eastAsia" w:ascii="宋体" w:hAnsi="宋体"/>
                <w:sz w:val="24"/>
                <w:szCs w:val="24"/>
              </w:rPr>
              <w:t>营业执照号码</w:t>
            </w:r>
          </w:p>
        </w:tc>
        <w:tc>
          <w:tcPr>
            <w:tcW w:w="2549" w:type="dxa"/>
            <w:gridSpan w:val="2"/>
            <w:vAlign w:val="top"/>
          </w:tcPr>
          <w:p>
            <w:pPr>
              <w:spacing w:line="440" w:lineRule="exact"/>
              <w:rPr>
                <w:rFonts w:ascii="宋体" w:hAnsi="宋体"/>
                <w:sz w:val="24"/>
                <w:szCs w:val="24"/>
              </w:rPr>
            </w:pPr>
          </w:p>
        </w:tc>
        <w:tc>
          <w:tcPr>
            <w:tcW w:w="1845" w:type="dxa"/>
            <w:gridSpan w:val="2"/>
            <w:vAlign w:val="center"/>
          </w:tcPr>
          <w:p>
            <w:pPr>
              <w:spacing w:line="440" w:lineRule="exact"/>
              <w:jc w:val="center"/>
              <w:rPr>
                <w:rFonts w:ascii="宋体" w:hAnsi="宋体"/>
                <w:sz w:val="24"/>
                <w:szCs w:val="24"/>
              </w:rPr>
            </w:pPr>
            <w:r>
              <w:rPr>
                <w:rFonts w:hint="eastAsia" w:ascii="宋体" w:hAnsi="宋体"/>
                <w:sz w:val="24"/>
                <w:szCs w:val="24"/>
              </w:rPr>
              <w:t>组织机构代码</w:t>
            </w:r>
          </w:p>
        </w:tc>
        <w:tc>
          <w:tcPr>
            <w:tcW w:w="2657" w:type="dxa"/>
            <w:vAlign w:val="top"/>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75" w:type="dxa"/>
            <w:vAlign w:val="center"/>
          </w:tcPr>
          <w:p>
            <w:pPr>
              <w:spacing w:line="440" w:lineRule="exact"/>
              <w:jc w:val="center"/>
              <w:rPr>
                <w:rFonts w:ascii="宋体" w:hAnsi="宋体"/>
                <w:sz w:val="24"/>
                <w:szCs w:val="24"/>
              </w:rPr>
            </w:pPr>
            <w:r>
              <w:rPr>
                <w:rFonts w:hint="eastAsia" w:ascii="宋体" w:hAnsi="宋体"/>
                <w:sz w:val="24"/>
                <w:szCs w:val="24"/>
              </w:rPr>
              <w:t>贷款卡编码</w:t>
            </w:r>
          </w:p>
        </w:tc>
        <w:tc>
          <w:tcPr>
            <w:tcW w:w="2549" w:type="dxa"/>
            <w:gridSpan w:val="2"/>
            <w:vAlign w:val="top"/>
          </w:tcPr>
          <w:p>
            <w:pPr>
              <w:spacing w:line="440" w:lineRule="exact"/>
              <w:rPr>
                <w:rFonts w:ascii="宋体" w:hAnsi="宋体"/>
                <w:sz w:val="24"/>
                <w:szCs w:val="24"/>
              </w:rPr>
            </w:pPr>
          </w:p>
        </w:tc>
        <w:tc>
          <w:tcPr>
            <w:tcW w:w="1845" w:type="dxa"/>
            <w:gridSpan w:val="2"/>
            <w:vAlign w:val="center"/>
          </w:tcPr>
          <w:p>
            <w:pPr>
              <w:spacing w:line="440" w:lineRule="exact"/>
              <w:jc w:val="center"/>
              <w:rPr>
                <w:rFonts w:ascii="宋体" w:hAnsi="宋体"/>
                <w:sz w:val="24"/>
                <w:szCs w:val="24"/>
              </w:rPr>
            </w:pPr>
            <w:r>
              <w:rPr>
                <w:rFonts w:hint="eastAsia" w:ascii="宋体" w:hAnsi="宋体"/>
                <w:sz w:val="24"/>
                <w:szCs w:val="24"/>
              </w:rPr>
              <w:t>机构信用代码</w:t>
            </w:r>
          </w:p>
        </w:tc>
        <w:tc>
          <w:tcPr>
            <w:tcW w:w="2657" w:type="dxa"/>
            <w:vAlign w:val="top"/>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75" w:type="dxa"/>
            <w:vMerge w:val="restart"/>
            <w:vAlign w:val="center"/>
          </w:tcPr>
          <w:p>
            <w:pPr>
              <w:spacing w:line="440" w:lineRule="exact"/>
              <w:jc w:val="center"/>
              <w:rPr>
                <w:rFonts w:ascii="宋体" w:hAnsi="宋体"/>
                <w:sz w:val="24"/>
                <w:szCs w:val="24"/>
              </w:rPr>
            </w:pPr>
            <w:r>
              <w:rPr>
                <w:rFonts w:hint="eastAsia" w:ascii="宋体" w:hAnsi="宋体"/>
                <w:sz w:val="24"/>
                <w:szCs w:val="24"/>
              </w:rPr>
              <w:t>负责人</w:t>
            </w:r>
          </w:p>
        </w:tc>
        <w:tc>
          <w:tcPr>
            <w:tcW w:w="992" w:type="dxa"/>
            <w:vAlign w:val="center"/>
          </w:tcPr>
          <w:p>
            <w:pPr>
              <w:spacing w:line="440" w:lineRule="exact"/>
              <w:jc w:val="center"/>
              <w:rPr>
                <w:rFonts w:ascii="宋体" w:hAnsi="宋体"/>
                <w:sz w:val="24"/>
                <w:szCs w:val="24"/>
              </w:rPr>
            </w:pPr>
            <w:r>
              <w:rPr>
                <w:rFonts w:hint="eastAsia" w:ascii="宋体" w:hAnsi="宋体"/>
                <w:sz w:val="24"/>
                <w:szCs w:val="24"/>
              </w:rPr>
              <w:t>姓名</w:t>
            </w:r>
          </w:p>
        </w:tc>
        <w:tc>
          <w:tcPr>
            <w:tcW w:w="2486" w:type="dxa"/>
            <w:gridSpan w:val="2"/>
            <w:vAlign w:val="top"/>
          </w:tcPr>
          <w:p>
            <w:pPr>
              <w:spacing w:line="440" w:lineRule="exact"/>
              <w:rPr>
                <w:rFonts w:ascii="宋体" w:hAnsi="宋体"/>
                <w:sz w:val="24"/>
                <w:szCs w:val="24"/>
              </w:rPr>
            </w:pPr>
          </w:p>
        </w:tc>
        <w:tc>
          <w:tcPr>
            <w:tcW w:w="916" w:type="dxa"/>
            <w:vAlign w:val="top"/>
          </w:tcPr>
          <w:p>
            <w:pPr>
              <w:spacing w:line="440" w:lineRule="exact"/>
              <w:jc w:val="distribute"/>
              <w:rPr>
                <w:rFonts w:ascii="宋体" w:hAnsi="宋体"/>
                <w:sz w:val="24"/>
                <w:szCs w:val="24"/>
              </w:rPr>
            </w:pPr>
            <w:r>
              <w:rPr>
                <w:rFonts w:hint="eastAsia" w:ascii="宋体" w:hAnsi="宋体"/>
                <w:sz w:val="24"/>
                <w:szCs w:val="24"/>
              </w:rPr>
              <w:t>职务</w:t>
            </w:r>
          </w:p>
        </w:tc>
        <w:tc>
          <w:tcPr>
            <w:tcW w:w="2657" w:type="dxa"/>
            <w:vAlign w:val="top"/>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75" w:type="dxa"/>
            <w:vMerge w:val="continue"/>
            <w:vAlign w:val="center"/>
          </w:tcPr>
          <w:p>
            <w:pPr>
              <w:spacing w:line="440" w:lineRule="exact"/>
              <w:jc w:val="center"/>
              <w:rPr>
                <w:rFonts w:ascii="宋体" w:hAnsi="宋体"/>
                <w:sz w:val="24"/>
                <w:szCs w:val="24"/>
              </w:rPr>
            </w:pPr>
          </w:p>
        </w:tc>
        <w:tc>
          <w:tcPr>
            <w:tcW w:w="992" w:type="dxa"/>
            <w:vAlign w:val="center"/>
          </w:tcPr>
          <w:p>
            <w:pPr>
              <w:spacing w:line="440" w:lineRule="exact"/>
              <w:jc w:val="center"/>
              <w:rPr>
                <w:rFonts w:ascii="宋体" w:hAnsi="宋体"/>
                <w:sz w:val="24"/>
                <w:szCs w:val="24"/>
              </w:rPr>
            </w:pPr>
            <w:r>
              <w:rPr>
                <w:rFonts w:hint="eastAsia" w:ascii="宋体" w:hAnsi="宋体"/>
                <w:sz w:val="24"/>
                <w:szCs w:val="24"/>
              </w:rPr>
              <w:t>电话</w:t>
            </w:r>
          </w:p>
        </w:tc>
        <w:tc>
          <w:tcPr>
            <w:tcW w:w="2486" w:type="dxa"/>
            <w:gridSpan w:val="2"/>
            <w:vAlign w:val="top"/>
          </w:tcPr>
          <w:p>
            <w:pPr>
              <w:spacing w:line="440" w:lineRule="exact"/>
              <w:rPr>
                <w:rFonts w:ascii="宋体" w:hAnsi="宋体"/>
                <w:sz w:val="24"/>
                <w:szCs w:val="24"/>
              </w:rPr>
            </w:pPr>
          </w:p>
        </w:tc>
        <w:tc>
          <w:tcPr>
            <w:tcW w:w="916" w:type="dxa"/>
            <w:vAlign w:val="top"/>
          </w:tcPr>
          <w:p>
            <w:pPr>
              <w:spacing w:line="440" w:lineRule="exact"/>
              <w:jc w:val="distribute"/>
              <w:rPr>
                <w:rFonts w:ascii="宋体" w:hAnsi="宋体"/>
                <w:sz w:val="24"/>
                <w:szCs w:val="24"/>
              </w:rPr>
            </w:pPr>
            <w:r>
              <w:rPr>
                <w:rFonts w:hint="eastAsia" w:ascii="宋体" w:hAnsi="宋体"/>
                <w:sz w:val="24"/>
                <w:szCs w:val="24"/>
              </w:rPr>
              <w:t>手机</w:t>
            </w:r>
          </w:p>
        </w:tc>
        <w:tc>
          <w:tcPr>
            <w:tcW w:w="2657" w:type="dxa"/>
            <w:vAlign w:val="top"/>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75" w:type="dxa"/>
            <w:vMerge w:val="continue"/>
            <w:vAlign w:val="center"/>
          </w:tcPr>
          <w:p>
            <w:pPr>
              <w:spacing w:line="440" w:lineRule="exact"/>
              <w:jc w:val="center"/>
              <w:rPr>
                <w:rFonts w:ascii="宋体" w:hAnsi="宋体"/>
                <w:sz w:val="24"/>
                <w:szCs w:val="24"/>
              </w:rPr>
            </w:pPr>
          </w:p>
        </w:tc>
        <w:tc>
          <w:tcPr>
            <w:tcW w:w="992" w:type="dxa"/>
            <w:vAlign w:val="center"/>
          </w:tcPr>
          <w:p>
            <w:pPr>
              <w:spacing w:line="440" w:lineRule="exact"/>
              <w:jc w:val="center"/>
              <w:rPr>
                <w:rFonts w:ascii="宋体" w:hAnsi="宋体"/>
                <w:sz w:val="24"/>
                <w:szCs w:val="24"/>
              </w:rPr>
            </w:pPr>
            <w:r>
              <w:rPr>
                <w:rFonts w:hint="eastAsia" w:ascii="宋体" w:hAnsi="宋体"/>
                <w:sz w:val="24"/>
                <w:szCs w:val="24"/>
              </w:rPr>
              <w:t>邮箱</w:t>
            </w:r>
          </w:p>
        </w:tc>
        <w:tc>
          <w:tcPr>
            <w:tcW w:w="6059" w:type="dxa"/>
            <w:gridSpan w:val="4"/>
            <w:vAlign w:val="top"/>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75" w:type="dxa"/>
            <w:vMerge w:val="restart"/>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992" w:type="dxa"/>
            <w:vAlign w:val="center"/>
          </w:tcPr>
          <w:p>
            <w:pPr>
              <w:spacing w:line="440" w:lineRule="exact"/>
              <w:jc w:val="center"/>
              <w:rPr>
                <w:rFonts w:ascii="宋体" w:hAnsi="宋体"/>
                <w:sz w:val="24"/>
                <w:szCs w:val="24"/>
              </w:rPr>
            </w:pPr>
            <w:r>
              <w:rPr>
                <w:rFonts w:hint="eastAsia" w:ascii="宋体" w:hAnsi="宋体"/>
                <w:sz w:val="24"/>
                <w:szCs w:val="24"/>
              </w:rPr>
              <w:t>姓名</w:t>
            </w:r>
          </w:p>
        </w:tc>
        <w:tc>
          <w:tcPr>
            <w:tcW w:w="2486" w:type="dxa"/>
            <w:gridSpan w:val="2"/>
            <w:vAlign w:val="top"/>
          </w:tcPr>
          <w:p>
            <w:pPr>
              <w:spacing w:line="440" w:lineRule="exact"/>
              <w:rPr>
                <w:rFonts w:ascii="宋体" w:hAnsi="宋体"/>
                <w:sz w:val="24"/>
                <w:szCs w:val="24"/>
              </w:rPr>
            </w:pPr>
          </w:p>
        </w:tc>
        <w:tc>
          <w:tcPr>
            <w:tcW w:w="916" w:type="dxa"/>
            <w:vAlign w:val="top"/>
          </w:tcPr>
          <w:p>
            <w:pPr>
              <w:spacing w:line="440" w:lineRule="exact"/>
              <w:jc w:val="distribute"/>
              <w:rPr>
                <w:rFonts w:ascii="宋体" w:hAnsi="宋体"/>
                <w:sz w:val="24"/>
                <w:szCs w:val="24"/>
              </w:rPr>
            </w:pPr>
            <w:r>
              <w:rPr>
                <w:rFonts w:hint="eastAsia" w:ascii="宋体" w:hAnsi="宋体"/>
                <w:sz w:val="24"/>
                <w:szCs w:val="24"/>
              </w:rPr>
              <w:t>职务</w:t>
            </w:r>
          </w:p>
        </w:tc>
        <w:tc>
          <w:tcPr>
            <w:tcW w:w="2657" w:type="dxa"/>
            <w:vAlign w:val="top"/>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75" w:type="dxa"/>
            <w:vMerge w:val="continue"/>
            <w:vAlign w:val="center"/>
          </w:tcPr>
          <w:p>
            <w:pPr>
              <w:spacing w:line="440" w:lineRule="exact"/>
              <w:jc w:val="center"/>
              <w:rPr>
                <w:rFonts w:ascii="宋体" w:hAnsi="宋体"/>
                <w:sz w:val="24"/>
                <w:szCs w:val="24"/>
              </w:rPr>
            </w:pPr>
          </w:p>
        </w:tc>
        <w:tc>
          <w:tcPr>
            <w:tcW w:w="992" w:type="dxa"/>
            <w:vAlign w:val="center"/>
          </w:tcPr>
          <w:p>
            <w:pPr>
              <w:spacing w:line="440" w:lineRule="exact"/>
              <w:jc w:val="center"/>
              <w:rPr>
                <w:rFonts w:ascii="宋体" w:hAnsi="宋体"/>
                <w:sz w:val="24"/>
                <w:szCs w:val="24"/>
              </w:rPr>
            </w:pPr>
            <w:r>
              <w:rPr>
                <w:rFonts w:hint="eastAsia" w:ascii="宋体" w:hAnsi="宋体"/>
                <w:sz w:val="24"/>
                <w:szCs w:val="24"/>
              </w:rPr>
              <w:t>电话</w:t>
            </w:r>
          </w:p>
        </w:tc>
        <w:tc>
          <w:tcPr>
            <w:tcW w:w="2486" w:type="dxa"/>
            <w:gridSpan w:val="2"/>
            <w:vAlign w:val="top"/>
          </w:tcPr>
          <w:p>
            <w:pPr>
              <w:spacing w:line="440" w:lineRule="exact"/>
              <w:rPr>
                <w:rFonts w:ascii="宋体" w:hAnsi="宋体"/>
                <w:sz w:val="24"/>
                <w:szCs w:val="24"/>
              </w:rPr>
            </w:pPr>
          </w:p>
        </w:tc>
        <w:tc>
          <w:tcPr>
            <w:tcW w:w="916" w:type="dxa"/>
            <w:vAlign w:val="top"/>
          </w:tcPr>
          <w:p>
            <w:pPr>
              <w:spacing w:line="440" w:lineRule="exact"/>
              <w:jc w:val="distribute"/>
              <w:rPr>
                <w:rFonts w:ascii="宋体" w:hAnsi="宋体"/>
                <w:sz w:val="24"/>
                <w:szCs w:val="24"/>
              </w:rPr>
            </w:pPr>
            <w:r>
              <w:rPr>
                <w:rFonts w:hint="eastAsia" w:ascii="宋体" w:hAnsi="宋体"/>
                <w:sz w:val="24"/>
                <w:szCs w:val="24"/>
              </w:rPr>
              <w:t>手机</w:t>
            </w:r>
          </w:p>
        </w:tc>
        <w:tc>
          <w:tcPr>
            <w:tcW w:w="2657" w:type="dxa"/>
            <w:vAlign w:val="top"/>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75" w:type="dxa"/>
            <w:vMerge w:val="continue"/>
            <w:vAlign w:val="center"/>
          </w:tcPr>
          <w:p>
            <w:pPr>
              <w:spacing w:line="440" w:lineRule="exact"/>
              <w:jc w:val="center"/>
              <w:rPr>
                <w:rFonts w:ascii="宋体" w:hAnsi="宋体"/>
                <w:sz w:val="24"/>
                <w:szCs w:val="24"/>
              </w:rPr>
            </w:pPr>
          </w:p>
        </w:tc>
        <w:tc>
          <w:tcPr>
            <w:tcW w:w="992" w:type="dxa"/>
            <w:vAlign w:val="center"/>
          </w:tcPr>
          <w:p>
            <w:pPr>
              <w:spacing w:line="440" w:lineRule="exact"/>
              <w:jc w:val="center"/>
              <w:rPr>
                <w:rFonts w:ascii="宋体" w:hAnsi="宋体"/>
                <w:sz w:val="24"/>
                <w:szCs w:val="24"/>
              </w:rPr>
            </w:pPr>
            <w:r>
              <w:rPr>
                <w:rFonts w:hint="eastAsia" w:ascii="宋体" w:hAnsi="宋体"/>
                <w:sz w:val="24"/>
                <w:szCs w:val="24"/>
              </w:rPr>
              <w:t>邮箱</w:t>
            </w:r>
          </w:p>
        </w:tc>
        <w:tc>
          <w:tcPr>
            <w:tcW w:w="6059" w:type="dxa"/>
            <w:gridSpan w:val="4"/>
            <w:vAlign w:val="top"/>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vAlign w:val="center"/>
          </w:tcPr>
          <w:p>
            <w:pPr>
              <w:spacing w:line="440" w:lineRule="exact"/>
              <w:jc w:val="center"/>
              <w:rPr>
                <w:rFonts w:ascii="宋体" w:hAnsi="宋体"/>
                <w:sz w:val="24"/>
                <w:szCs w:val="24"/>
              </w:rPr>
            </w:pPr>
            <w:r>
              <w:rPr>
                <w:rFonts w:hint="eastAsia" w:ascii="宋体" w:hAnsi="宋体"/>
                <w:sz w:val="24"/>
                <w:szCs w:val="24"/>
              </w:rPr>
              <w:t>企业意见</w:t>
            </w:r>
          </w:p>
        </w:tc>
        <w:tc>
          <w:tcPr>
            <w:tcW w:w="7051" w:type="dxa"/>
            <w:gridSpan w:val="5"/>
            <w:vAlign w:val="top"/>
          </w:tcPr>
          <w:p>
            <w:pPr>
              <w:widowControl/>
              <w:spacing w:line="440" w:lineRule="exact"/>
              <w:ind w:firstLine="480" w:firstLineChars="200"/>
              <w:rPr>
                <w:rFonts w:ascii="宋体" w:hAnsi="宋体"/>
                <w:kern w:val="0"/>
                <w:sz w:val="24"/>
                <w:szCs w:val="24"/>
              </w:rPr>
            </w:pPr>
            <w:r>
              <w:rPr>
                <w:rFonts w:ascii="宋体" w:hAnsi="宋体"/>
                <w:kern w:val="0"/>
                <w:sz w:val="24"/>
                <w:szCs w:val="24"/>
              </w:rPr>
              <w:t>本企业自愿参加</w:t>
            </w:r>
            <w:r>
              <w:rPr>
                <w:rFonts w:hint="eastAsia" w:ascii="宋体" w:hAnsi="宋体"/>
                <w:kern w:val="0"/>
                <w:sz w:val="24"/>
                <w:szCs w:val="24"/>
              </w:rPr>
              <w:t>2015年</w:t>
            </w:r>
            <w:r>
              <w:rPr>
                <w:rFonts w:ascii="宋体" w:hAnsi="宋体"/>
                <w:kern w:val="0"/>
                <w:sz w:val="24"/>
                <w:szCs w:val="24"/>
              </w:rPr>
              <w:t>北京市企业诚信创建活动，</w:t>
            </w:r>
            <w:r>
              <w:rPr>
                <w:rFonts w:hint="eastAsia" w:ascii="宋体" w:hAnsi="宋体"/>
                <w:sz w:val="24"/>
                <w:szCs w:val="24"/>
              </w:rPr>
              <w:t>遵守本活动各项规则，</w:t>
            </w:r>
            <w:r>
              <w:rPr>
                <w:rFonts w:hint="eastAsia" w:ascii="宋体" w:hAnsi="宋体"/>
                <w:kern w:val="0"/>
                <w:sz w:val="24"/>
                <w:szCs w:val="24"/>
              </w:rPr>
              <w:t>并</w:t>
            </w:r>
            <w:r>
              <w:rPr>
                <w:rFonts w:ascii="宋体" w:hAnsi="宋体"/>
                <w:kern w:val="0"/>
                <w:sz w:val="24"/>
                <w:szCs w:val="24"/>
              </w:rPr>
              <w:t>对所填报各项数据、信息及所提交各项资料的真实性、准确性、完整性和有效性负责</w:t>
            </w:r>
            <w:r>
              <w:rPr>
                <w:rFonts w:hint="eastAsia" w:ascii="宋体" w:hAnsi="宋体"/>
                <w:kern w:val="0"/>
                <w:sz w:val="24"/>
                <w:szCs w:val="24"/>
              </w:rPr>
              <w:t>。</w:t>
            </w:r>
          </w:p>
          <w:p>
            <w:pPr>
              <w:widowControl/>
              <w:spacing w:line="440" w:lineRule="exact"/>
              <w:ind w:firstLine="480" w:firstLineChars="200"/>
              <w:rPr>
                <w:rFonts w:ascii="宋体" w:hAnsi="宋体"/>
                <w:kern w:val="0"/>
                <w:sz w:val="24"/>
                <w:szCs w:val="24"/>
              </w:rPr>
            </w:pPr>
            <w:r>
              <w:rPr>
                <w:rFonts w:hint="eastAsia" w:ascii="宋体" w:hAnsi="宋体"/>
                <w:kern w:val="0"/>
                <w:sz w:val="24"/>
                <w:szCs w:val="24"/>
              </w:rPr>
              <w:t>本企业授权</w:t>
            </w:r>
            <w:r>
              <w:rPr>
                <w:rFonts w:hint="eastAsia" w:ascii="宋体" w:hAnsi="宋体"/>
                <w:color w:val="000000"/>
                <w:kern w:val="0"/>
                <w:sz w:val="24"/>
                <w:szCs w:val="24"/>
              </w:rPr>
              <w:t>北京企业评价协会</w:t>
            </w:r>
            <w:r>
              <w:rPr>
                <w:rFonts w:hint="eastAsia" w:ascii="宋体" w:hAnsi="宋体"/>
                <w:kern w:val="0"/>
                <w:sz w:val="24"/>
                <w:szCs w:val="24"/>
              </w:rPr>
              <w:t>查询有关政府部门、法院、人民银行及北京市消费者协会所记录的本企业近三年的信用信息，所查询信息仅用于北京企业评价协会及其认定的征信机构在本次活动中对本企业的诚信评价。未经本企业书面同意，北京企业评价协会及其认定的征信机构不得将上述信用信息提供给其他任何第三方，亦不得用于除本次活动之外的其他用途。</w:t>
            </w:r>
          </w:p>
          <w:p>
            <w:pPr>
              <w:widowControl/>
              <w:spacing w:line="440" w:lineRule="exact"/>
              <w:ind w:firstLine="480" w:firstLineChars="200"/>
              <w:rPr>
                <w:rFonts w:ascii="宋体" w:hAnsi="宋体"/>
                <w:kern w:val="0"/>
                <w:sz w:val="24"/>
                <w:szCs w:val="24"/>
              </w:rPr>
            </w:pPr>
          </w:p>
          <w:p>
            <w:pPr>
              <w:spacing w:line="440" w:lineRule="exact"/>
              <w:ind w:firstLine="2520" w:firstLineChars="1050"/>
              <w:rPr>
                <w:rFonts w:ascii="宋体" w:hAnsi="宋体"/>
                <w:kern w:val="0"/>
                <w:sz w:val="24"/>
                <w:szCs w:val="24"/>
              </w:rPr>
            </w:pPr>
            <w:r>
              <w:rPr>
                <w:rFonts w:ascii="宋体" w:hAnsi="宋体"/>
                <w:kern w:val="0"/>
                <w:sz w:val="24"/>
                <w:szCs w:val="24"/>
              </w:rPr>
              <w:t>法定代表人（签字）：</w:t>
            </w:r>
          </w:p>
          <w:p>
            <w:pPr>
              <w:spacing w:line="440" w:lineRule="exact"/>
              <w:rPr>
                <w:rFonts w:ascii="宋体" w:hAnsi="宋体"/>
                <w:kern w:val="0"/>
                <w:sz w:val="24"/>
                <w:szCs w:val="24"/>
              </w:rPr>
            </w:pPr>
            <w:r>
              <w:rPr>
                <w:rFonts w:ascii="宋体" w:hAnsi="宋体"/>
                <w:kern w:val="0"/>
                <w:sz w:val="24"/>
                <w:szCs w:val="24"/>
              </w:rPr>
              <w:t xml:space="preserve">                       申报企业</w:t>
            </w:r>
            <w:r>
              <w:rPr>
                <w:rFonts w:hint="eastAsia" w:ascii="宋体" w:hAnsi="宋体"/>
                <w:kern w:val="0"/>
                <w:sz w:val="24"/>
                <w:szCs w:val="24"/>
              </w:rPr>
              <w:t>（公章）：</w:t>
            </w:r>
          </w:p>
          <w:p>
            <w:pPr>
              <w:spacing w:line="440" w:lineRule="exact"/>
              <w:ind w:firstLine="3720" w:firstLineChars="1550"/>
              <w:rPr>
                <w:rFonts w:ascii="宋体" w:hAnsi="宋体"/>
                <w:sz w:val="24"/>
                <w:szCs w:val="24"/>
              </w:rPr>
            </w:pPr>
            <w:r>
              <w:rPr>
                <w:rFonts w:ascii="宋体" w:hAnsi="宋体"/>
                <w:kern w:val="0"/>
                <w:sz w:val="24"/>
                <w:szCs w:val="24"/>
              </w:rPr>
              <w:t>年</w:t>
            </w:r>
            <w:r>
              <w:rPr>
                <w:rFonts w:hint="eastAsia" w:ascii="宋体" w:hAnsi="宋体"/>
                <w:kern w:val="0"/>
                <w:sz w:val="24"/>
                <w:szCs w:val="24"/>
              </w:rPr>
              <w:t xml:space="preserve">   </w:t>
            </w:r>
            <w:r>
              <w:rPr>
                <w:rFonts w:ascii="宋体" w:hAnsi="宋体"/>
                <w:kern w:val="0"/>
                <w:sz w:val="24"/>
                <w:szCs w:val="24"/>
              </w:rPr>
              <w:t>月</w:t>
            </w:r>
            <w:r>
              <w:rPr>
                <w:rFonts w:hint="eastAsia" w:ascii="宋体" w:hAnsi="宋体"/>
                <w:kern w:val="0"/>
                <w:sz w:val="24"/>
                <w:szCs w:val="24"/>
              </w:rPr>
              <w:t xml:space="preserve">   </w:t>
            </w:r>
            <w:r>
              <w:rPr>
                <w:rFonts w:ascii="宋体" w:hAnsi="宋体"/>
                <w:kern w:val="0"/>
                <w:sz w:val="24"/>
                <w:szCs w:val="24"/>
              </w:rPr>
              <w:t>日</w:t>
            </w:r>
          </w:p>
        </w:tc>
      </w:tr>
    </w:tbl>
    <w:p>
      <w:pPr>
        <w:rPr>
          <w:rFonts w:ascii="宋体" w:hAnsi="宋体"/>
          <w:sz w:val="28"/>
          <w:szCs w:val="28"/>
        </w:rPr>
      </w:pPr>
      <w:bookmarkStart w:id="0" w:name="_GoBack"/>
      <w:bookmarkEnd w:id="0"/>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E3B3E"/>
    <w:rsid w:val="000038D0"/>
    <w:rsid w:val="000072B0"/>
    <w:rsid w:val="00043FD2"/>
    <w:rsid w:val="00086C95"/>
    <w:rsid w:val="000C6AC6"/>
    <w:rsid w:val="000D0154"/>
    <w:rsid w:val="0015079B"/>
    <w:rsid w:val="001A3FB6"/>
    <w:rsid w:val="001C7588"/>
    <w:rsid w:val="001E44AD"/>
    <w:rsid w:val="0020476F"/>
    <w:rsid w:val="00212DAE"/>
    <w:rsid w:val="002B3083"/>
    <w:rsid w:val="002D05E0"/>
    <w:rsid w:val="002D0CD3"/>
    <w:rsid w:val="002D531D"/>
    <w:rsid w:val="003150BE"/>
    <w:rsid w:val="00323877"/>
    <w:rsid w:val="0034437F"/>
    <w:rsid w:val="003658D7"/>
    <w:rsid w:val="00380CD2"/>
    <w:rsid w:val="00386B3A"/>
    <w:rsid w:val="003A3C3E"/>
    <w:rsid w:val="003A3E80"/>
    <w:rsid w:val="0044309B"/>
    <w:rsid w:val="00497407"/>
    <w:rsid w:val="004A26B6"/>
    <w:rsid w:val="004F485B"/>
    <w:rsid w:val="00530B31"/>
    <w:rsid w:val="00543BF4"/>
    <w:rsid w:val="00567A66"/>
    <w:rsid w:val="005756BF"/>
    <w:rsid w:val="00584638"/>
    <w:rsid w:val="005C4F93"/>
    <w:rsid w:val="005E40E7"/>
    <w:rsid w:val="005F7017"/>
    <w:rsid w:val="00612F24"/>
    <w:rsid w:val="006620BF"/>
    <w:rsid w:val="00674C44"/>
    <w:rsid w:val="00676B32"/>
    <w:rsid w:val="00677386"/>
    <w:rsid w:val="0068674F"/>
    <w:rsid w:val="006C7A77"/>
    <w:rsid w:val="006D354B"/>
    <w:rsid w:val="006D5E2F"/>
    <w:rsid w:val="006E3B3E"/>
    <w:rsid w:val="007144A4"/>
    <w:rsid w:val="00733F8B"/>
    <w:rsid w:val="00761D64"/>
    <w:rsid w:val="007942E7"/>
    <w:rsid w:val="007A08CE"/>
    <w:rsid w:val="007A5AD4"/>
    <w:rsid w:val="007F0886"/>
    <w:rsid w:val="007F58B0"/>
    <w:rsid w:val="00800716"/>
    <w:rsid w:val="00831336"/>
    <w:rsid w:val="008646A6"/>
    <w:rsid w:val="00884D39"/>
    <w:rsid w:val="008C5072"/>
    <w:rsid w:val="008F32C4"/>
    <w:rsid w:val="008F562F"/>
    <w:rsid w:val="008F7A16"/>
    <w:rsid w:val="00920F34"/>
    <w:rsid w:val="00927804"/>
    <w:rsid w:val="009324E0"/>
    <w:rsid w:val="009A4F31"/>
    <w:rsid w:val="009D1843"/>
    <w:rsid w:val="009D6AA9"/>
    <w:rsid w:val="009E69A7"/>
    <w:rsid w:val="00A07AD0"/>
    <w:rsid w:val="00A11351"/>
    <w:rsid w:val="00A13CFF"/>
    <w:rsid w:val="00A26FC1"/>
    <w:rsid w:val="00A46DB5"/>
    <w:rsid w:val="00A71583"/>
    <w:rsid w:val="00AB4EB2"/>
    <w:rsid w:val="00AC7044"/>
    <w:rsid w:val="00B047D5"/>
    <w:rsid w:val="00B04A1B"/>
    <w:rsid w:val="00B16A6C"/>
    <w:rsid w:val="00B66150"/>
    <w:rsid w:val="00B83425"/>
    <w:rsid w:val="00B87006"/>
    <w:rsid w:val="00BA6FBB"/>
    <w:rsid w:val="00BE0910"/>
    <w:rsid w:val="00C07445"/>
    <w:rsid w:val="00C10066"/>
    <w:rsid w:val="00C43667"/>
    <w:rsid w:val="00C47ADC"/>
    <w:rsid w:val="00C5669A"/>
    <w:rsid w:val="00C60696"/>
    <w:rsid w:val="00C640A8"/>
    <w:rsid w:val="00C8638C"/>
    <w:rsid w:val="00CE2A4F"/>
    <w:rsid w:val="00CE564F"/>
    <w:rsid w:val="00CE56C2"/>
    <w:rsid w:val="00CF359B"/>
    <w:rsid w:val="00D01B15"/>
    <w:rsid w:val="00D03C74"/>
    <w:rsid w:val="00D12C3E"/>
    <w:rsid w:val="00D2518C"/>
    <w:rsid w:val="00D27DFE"/>
    <w:rsid w:val="00D503CB"/>
    <w:rsid w:val="00D74AC5"/>
    <w:rsid w:val="00D97E19"/>
    <w:rsid w:val="00DA7CB3"/>
    <w:rsid w:val="00DD5C00"/>
    <w:rsid w:val="00E151B5"/>
    <w:rsid w:val="00E27812"/>
    <w:rsid w:val="00E5468F"/>
    <w:rsid w:val="00EA2DE1"/>
    <w:rsid w:val="00EA30CE"/>
    <w:rsid w:val="00EA5C8D"/>
    <w:rsid w:val="00EC0ECF"/>
    <w:rsid w:val="00ED5D5D"/>
    <w:rsid w:val="00F05948"/>
    <w:rsid w:val="00F56E20"/>
    <w:rsid w:val="00F96D4D"/>
    <w:rsid w:val="016B3DE1"/>
    <w:rsid w:val="131C7151"/>
    <w:rsid w:val="16907A92"/>
    <w:rsid w:val="27DB7BDA"/>
    <w:rsid w:val="2B097D91"/>
    <w:rsid w:val="3DAA62A2"/>
    <w:rsid w:val="4A016D19"/>
    <w:rsid w:val="6A436220"/>
    <w:rsid w:val="6EAC089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Document Map"/>
    <w:basedOn w:val="1"/>
    <w:link w:val="14"/>
    <w:unhideWhenUsed/>
    <w:uiPriority w:val="99"/>
    <w:rPr>
      <w:rFonts w:ascii="宋体" w:eastAsia="宋体"/>
      <w:sz w:val="18"/>
      <w:szCs w:val="18"/>
    </w:rPr>
  </w:style>
  <w:style w:type="paragraph" w:styleId="3">
    <w:name w:val="Date"/>
    <w:basedOn w:val="1"/>
    <w:next w:val="1"/>
    <w:link w:val="15"/>
    <w:unhideWhenUsed/>
    <w:uiPriority w:val="99"/>
    <w:pPr>
      <w:ind w:left="100" w:leftChars="2500"/>
    </w:pPr>
  </w:style>
  <w:style w:type="paragraph" w:styleId="4">
    <w:name w:val="Balloon Text"/>
    <w:basedOn w:val="1"/>
    <w:link w:val="16"/>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u w:val="single"/>
    </w:rPr>
  </w:style>
  <w:style w:type="table" w:styleId="10">
    <w:name w:val="Table Grid"/>
    <w:basedOn w:val="9"/>
    <w:uiPriority w:val="59"/>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1">
    <w:name w:val="List Paragraph"/>
    <w:basedOn w:val="1"/>
    <w:qFormat/>
    <w:uiPriority w:val="34"/>
    <w:pPr>
      <w:ind w:firstLine="420" w:firstLineChars="200"/>
    </w:pPr>
  </w:style>
  <w:style w:type="character" w:customStyle="1" w:styleId="12">
    <w:name w:val="页眉 Char"/>
    <w:basedOn w:val="7"/>
    <w:link w:val="6"/>
    <w:semiHidden/>
    <w:uiPriority w:val="99"/>
    <w:rPr>
      <w:sz w:val="18"/>
      <w:szCs w:val="18"/>
    </w:rPr>
  </w:style>
  <w:style w:type="character" w:customStyle="1" w:styleId="13">
    <w:name w:val="页脚 Char"/>
    <w:basedOn w:val="7"/>
    <w:link w:val="5"/>
    <w:uiPriority w:val="99"/>
    <w:rPr>
      <w:sz w:val="18"/>
      <w:szCs w:val="18"/>
    </w:rPr>
  </w:style>
  <w:style w:type="character" w:customStyle="1" w:styleId="14">
    <w:name w:val="文档结构图 Char"/>
    <w:basedOn w:val="7"/>
    <w:link w:val="2"/>
    <w:semiHidden/>
    <w:uiPriority w:val="99"/>
    <w:rPr>
      <w:rFonts w:ascii="宋体" w:eastAsia="宋体"/>
      <w:sz w:val="18"/>
      <w:szCs w:val="18"/>
    </w:rPr>
  </w:style>
  <w:style w:type="character" w:customStyle="1" w:styleId="15">
    <w:name w:val="日期 Char"/>
    <w:basedOn w:val="7"/>
    <w:link w:val="3"/>
    <w:semiHidden/>
    <w:uiPriority w:val="99"/>
    <w:rPr/>
  </w:style>
  <w:style w:type="character" w:customStyle="1" w:styleId="16">
    <w:name w:val="批注框文本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503</Words>
  <Characters>2868</Characters>
  <Lines>23</Lines>
  <Paragraphs>6</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2015-06-25T01:30:00Z</dcterms:created>
  <dc:creator>安明</dc:creator>
  <cp:lastModifiedBy>liuwei</cp:lastModifiedBy>
  <dcterms:modified xsi:type="dcterms:W3CDTF">2015-07-24T10:10:06Z</dcterms:modified>
  <dc:title>北京市企业诚信创建活动秘书处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